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w:t>
      </w:r>
      <w:r w:rsidR="005C489B">
        <w:rPr>
          <w:rFonts w:ascii="Arial" w:hAnsi="Arial" w:cs="Arial"/>
          <w:bCs/>
          <w:caps/>
        </w:rPr>
        <w:t xml:space="preserve"> POST REVIEW</w:t>
      </w:r>
      <w:r w:rsidR="00194D26">
        <w:rPr>
          <w:rFonts w:ascii="Arial" w:hAnsi="Arial" w:cs="Arial"/>
          <w:bCs/>
          <w:caps/>
        </w:rPr>
        <w:t xml:space="preserve"> #</w:t>
      </w:r>
      <w:r w:rsidR="005C489B">
        <w:rPr>
          <w:rFonts w:ascii="Arial" w:hAnsi="Arial" w:cs="Arial"/>
          <w:b/>
          <w:bCs/>
          <w:i/>
          <w:caps/>
        </w:rPr>
        <w:t>5</w:t>
      </w:r>
    </w:p>
    <w:p w:rsidR="00073224" w:rsidRPr="008A4F63" w:rsidRDefault="005C489B" w:rsidP="00073224">
      <w:pPr>
        <w:jc w:val="center"/>
        <w:rPr>
          <w:rFonts w:ascii="Arial" w:hAnsi="Arial" w:cs="Arial"/>
          <w:b/>
          <w:bCs/>
          <w:i/>
          <w:caps/>
        </w:rPr>
      </w:pPr>
      <w:r>
        <w:rPr>
          <w:rFonts w:ascii="Arial" w:hAnsi="Arial" w:cs="Arial"/>
          <w:b/>
          <w:bCs/>
          <w:i/>
          <w:caps/>
        </w:rPr>
        <w:t>9-6-17</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066EA9" w:rsidP="00073224">
            <w:pPr>
              <w:spacing w:before="40" w:after="20"/>
              <w:contextualSpacing/>
              <w:rPr>
                <w:rFonts w:ascii="Arial" w:hAnsi="Arial" w:cs="Arial"/>
                <w:sz w:val="22"/>
                <w:szCs w:val="22"/>
              </w:rPr>
            </w:pPr>
            <w:proofErr w:type="spellStart"/>
            <w:r>
              <w:rPr>
                <w:rFonts w:ascii="Arial" w:hAnsi="Arial" w:cs="Arial"/>
                <w:sz w:val="22"/>
                <w:szCs w:val="22"/>
              </w:rPr>
              <w:t>Dailys</w:t>
            </w:r>
            <w:proofErr w:type="spellEnd"/>
            <w:r>
              <w:rPr>
                <w:rFonts w:ascii="Arial" w:hAnsi="Arial" w:cs="Arial"/>
                <w:sz w:val="22"/>
                <w:szCs w:val="22"/>
              </w:rPr>
              <w:t>/Shell</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A0488">
            <w:pPr>
              <w:spacing w:before="40" w:after="20"/>
              <w:contextualSpacing/>
              <w:rPr>
                <w:rFonts w:ascii="Arial" w:hAnsi="Arial" w:cs="Arial"/>
                <w:sz w:val="22"/>
                <w:szCs w:val="22"/>
              </w:rPr>
            </w:pPr>
            <w:r>
              <w:rPr>
                <w:rFonts w:ascii="Arial" w:hAnsi="Arial" w:cs="Arial"/>
                <w:sz w:val="22"/>
                <w:szCs w:val="22"/>
              </w:rPr>
              <w:t>PZ-</w:t>
            </w:r>
            <w:r w:rsidR="00066EA9">
              <w:rPr>
                <w:rFonts w:ascii="Arial" w:hAnsi="Arial" w:cs="Arial"/>
                <w:sz w:val="22"/>
                <w:szCs w:val="22"/>
              </w:rPr>
              <w:t>15070004</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066EA9" w:rsidP="00194D26">
            <w:pPr>
              <w:spacing w:before="40" w:after="20"/>
              <w:contextualSpacing/>
              <w:rPr>
                <w:rFonts w:ascii="Arial" w:hAnsi="Arial" w:cs="Arial"/>
                <w:sz w:val="22"/>
                <w:szCs w:val="22"/>
              </w:rPr>
            </w:pPr>
            <w:r>
              <w:rPr>
                <w:rFonts w:ascii="Arial" w:hAnsi="Arial" w:cs="Arial"/>
                <w:sz w:val="22"/>
                <w:szCs w:val="22"/>
              </w:rPr>
              <w:t>4701</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066EA9" w:rsidP="00073224">
            <w:pPr>
              <w:spacing w:before="40" w:after="20"/>
              <w:contextualSpacing/>
              <w:rPr>
                <w:rFonts w:ascii="Arial" w:hAnsi="Arial" w:cs="Arial"/>
                <w:sz w:val="22"/>
                <w:szCs w:val="22"/>
              </w:rPr>
            </w:pPr>
            <w:r>
              <w:rPr>
                <w:rFonts w:ascii="Arial" w:hAnsi="Arial" w:cs="Arial"/>
                <w:sz w:val="22"/>
                <w:szCs w:val="22"/>
              </w:rPr>
              <w:t xml:space="preserve">Michael </w:t>
            </w:r>
            <w:proofErr w:type="spellStart"/>
            <w:r>
              <w:rPr>
                <w:rFonts w:ascii="Arial" w:hAnsi="Arial" w:cs="Arial"/>
                <w:sz w:val="22"/>
                <w:szCs w:val="22"/>
              </w:rPr>
              <w:t>Troxell</w:t>
            </w:r>
            <w:proofErr w:type="spellEnd"/>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066EA9" w:rsidP="00866619">
            <w:pPr>
              <w:rPr>
                <w:rFonts w:ascii="Arial" w:hAnsi="Arial" w:cs="Arial"/>
                <w:sz w:val="22"/>
                <w:szCs w:val="22"/>
              </w:rPr>
            </w:pPr>
            <w:r>
              <w:rPr>
                <w:rFonts w:ascii="Arial" w:hAnsi="Arial" w:cs="Arial"/>
                <w:sz w:val="22"/>
                <w:szCs w:val="22"/>
              </w:rPr>
              <w:t>Site PMDD</w:t>
            </w:r>
          </w:p>
        </w:tc>
      </w:tr>
      <w:tr w:rsidR="00E3016A" w:rsidRPr="000B1656"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8970D7">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Telephone</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DRC Chair</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Liz Aguiar – Senior Planner</w:t>
            </w:r>
          </w:p>
        </w:tc>
        <w:tc>
          <w:tcPr>
            <w:tcW w:w="3060" w:type="dxa"/>
            <w:vAlign w:val="center"/>
          </w:tcPr>
          <w:p w:rsidR="00E3016A" w:rsidRPr="003B2E92" w:rsidRDefault="00E44C34" w:rsidP="008A7C76">
            <w:pPr>
              <w:rPr>
                <w:rFonts w:ascii="Arial" w:hAnsi="Arial" w:cs="Arial"/>
                <w:sz w:val="18"/>
                <w:szCs w:val="20"/>
              </w:rPr>
            </w:pPr>
            <w:hyperlink r:id="rId7" w:history="1">
              <w:r w:rsidR="003B2E92" w:rsidRPr="003B2E92">
                <w:rPr>
                  <w:rStyle w:val="Hyperlink"/>
                  <w:rFonts w:ascii="Arial" w:hAnsi="Arial" w:cs="Arial"/>
                  <w:sz w:val="18"/>
                </w:rPr>
                <w:t>laguiar@coconutcreek.net</w:t>
              </w:r>
            </w:hyperlink>
          </w:p>
        </w:tc>
        <w:tc>
          <w:tcPr>
            <w:tcW w:w="1890" w:type="dxa"/>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(954) 973-67</w:t>
            </w:r>
            <w:r w:rsidR="003B2E92">
              <w:rPr>
                <w:rFonts w:ascii="Arial" w:hAnsi="Arial" w:cs="Arial"/>
                <w:sz w:val="18"/>
                <w:szCs w:val="20"/>
              </w:rPr>
              <w:t>56</w:t>
            </w:r>
          </w:p>
        </w:tc>
      </w:tr>
      <w:tr w:rsidR="003B2E92" w:rsidRPr="003B2E92" w:rsidTr="0028237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Linda Whitman – Senior Planner</w:t>
            </w:r>
          </w:p>
        </w:tc>
        <w:tc>
          <w:tcPr>
            <w:tcW w:w="3060" w:type="dxa"/>
            <w:vAlign w:val="center"/>
          </w:tcPr>
          <w:p w:rsidR="003B2E92" w:rsidRPr="003B2E92" w:rsidRDefault="00E44C34" w:rsidP="003B2E92">
            <w:pPr>
              <w:rPr>
                <w:rFonts w:ascii="Arial" w:hAnsi="Arial" w:cs="Arial"/>
                <w:sz w:val="18"/>
                <w:szCs w:val="20"/>
              </w:rPr>
            </w:pPr>
            <w:hyperlink r:id="rId8" w:history="1">
              <w:r w:rsidR="003B2E92" w:rsidRPr="003B2E92">
                <w:rPr>
                  <w:rStyle w:val="Hyperlink"/>
                  <w:rFonts w:ascii="Arial" w:hAnsi="Arial" w:cs="Arial"/>
                  <w:sz w:val="18"/>
                  <w:szCs w:val="20"/>
                </w:rPr>
                <w:t>lwhitman@coconutcreek.net</w:t>
              </w:r>
            </w:hyperlink>
          </w:p>
        </w:tc>
        <w:tc>
          <w:tcPr>
            <w:tcW w:w="189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(954) 973-6756</w:t>
            </w:r>
          </w:p>
        </w:tc>
      </w:tr>
      <w:tr w:rsidR="001D1F08"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1D1F08" w:rsidRPr="00E3016A" w:rsidRDefault="001D1F08" w:rsidP="008A7C76">
            <w:pPr>
              <w:rPr>
                <w:rFonts w:ascii="Arial" w:hAnsi="Arial" w:cs="Arial"/>
                <w:sz w:val="18"/>
                <w:szCs w:val="20"/>
              </w:rPr>
            </w:pPr>
            <w:r>
              <w:rPr>
                <w:rFonts w:ascii="Arial" w:hAnsi="Arial" w:cs="Arial"/>
                <w:sz w:val="18"/>
                <w:szCs w:val="20"/>
              </w:rPr>
              <w:t>Planning</w:t>
            </w:r>
          </w:p>
        </w:tc>
        <w:tc>
          <w:tcPr>
            <w:tcW w:w="3780" w:type="dxa"/>
            <w:gridSpan w:val="2"/>
            <w:vAlign w:val="center"/>
          </w:tcPr>
          <w:p w:rsidR="001D1F08" w:rsidRPr="001D1F08" w:rsidRDefault="001D1F08" w:rsidP="008A7C76">
            <w:pPr>
              <w:rPr>
                <w:rFonts w:ascii="Arial" w:hAnsi="Arial" w:cs="Arial"/>
                <w:sz w:val="18"/>
                <w:szCs w:val="20"/>
              </w:rPr>
            </w:pPr>
            <w:r w:rsidRPr="001D1F08">
              <w:rPr>
                <w:rFonts w:ascii="Arial" w:hAnsi="Arial" w:cs="Arial"/>
                <w:sz w:val="18"/>
                <w:szCs w:val="20"/>
              </w:rPr>
              <w:t>Swati Meshram – Senior Planner</w:t>
            </w:r>
          </w:p>
        </w:tc>
        <w:tc>
          <w:tcPr>
            <w:tcW w:w="3060" w:type="dxa"/>
            <w:vAlign w:val="center"/>
          </w:tcPr>
          <w:p w:rsidR="001D1F08" w:rsidRPr="001D1F08" w:rsidRDefault="00E44C34" w:rsidP="008A7C76">
            <w:pPr>
              <w:rPr>
                <w:rFonts w:ascii="Arial" w:hAnsi="Arial" w:cs="Arial"/>
                <w:sz w:val="18"/>
                <w:szCs w:val="20"/>
              </w:rPr>
            </w:pPr>
            <w:hyperlink r:id="rId9" w:history="1">
              <w:r w:rsidR="001D1F08" w:rsidRPr="001D1F08">
                <w:rPr>
                  <w:rStyle w:val="Hyperlink"/>
                  <w:rFonts w:ascii="Arial" w:hAnsi="Arial" w:cs="Arial"/>
                  <w:sz w:val="18"/>
                  <w:szCs w:val="20"/>
                </w:rPr>
                <w:t>SMeshram@coconutcreek.net</w:t>
              </w:r>
            </w:hyperlink>
          </w:p>
        </w:tc>
        <w:tc>
          <w:tcPr>
            <w:tcW w:w="1890" w:type="dxa"/>
            <w:vAlign w:val="center"/>
          </w:tcPr>
          <w:p w:rsidR="001D1F08" w:rsidRPr="00E3016A" w:rsidRDefault="001D1F08" w:rsidP="008A7C76">
            <w:pPr>
              <w:rPr>
                <w:rFonts w:ascii="Arial" w:hAnsi="Arial" w:cs="Arial"/>
                <w:sz w:val="18"/>
                <w:szCs w:val="20"/>
              </w:rPr>
            </w:pPr>
            <w:r w:rsidRPr="003B2E92">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E44C34" w:rsidP="008A7C76">
            <w:pPr>
              <w:rPr>
                <w:rFonts w:ascii="Arial" w:hAnsi="Arial" w:cs="Arial"/>
                <w:sz w:val="18"/>
                <w:szCs w:val="20"/>
              </w:rPr>
            </w:pPr>
            <w:hyperlink r:id="rId10"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973-6750</w:t>
            </w:r>
          </w:p>
        </w:tc>
      </w:tr>
      <w:tr w:rsidR="00E3016A" w:rsidTr="008A7C76">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8A7C76">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E44C34" w:rsidP="008A7C76">
            <w:pPr>
              <w:rPr>
                <w:rFonts w:ascii="Arial" w:hAnsi="Arial" w:cs="Arial"/>
                <w:sz w:val="18"/>
                <w:szCs w:val="20"/>
              </w:rPr>
            </w:pPr>
            <w:hyperlink r:id="rId11"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387DC4">
            <w:pPr>
              <w:rPr>
                <w:rFonts w:ascii="Arial" w:hAnsi="Arial" w:cs="Arial"/>
                <w:sz w:val="18"/>
                <w:szCs w:val="20"/>
              </w:rPr>
            </w:pPr>
            <w:r w:rsidRPr="00E3016A">
              <w:rPr>
                <w:rFonts w:ascii="Arial" w:hAnsi="Arial" w:cs="Arial"/>
                <w:sz w:val="18"/>
                <w:szCs w:val="20"/>
              </w:rPr>
              <w:t xml:space="preserve">(954) </w:t>
            </w:r>
            <w:r w:rsidR="00387DC4">
              <w:rPr>
                <w:rFonts w:ascii="Arial" w:hAnsi="Arial" w:cs="Arial"/>
                <w:sz w:val="18"/>
                <w:szCs w:val="20"/>
              </w:rPr>
              <w:t>973-6786</w:t>
            </w:r>
          </w:p>
        </w:tc>
      </w:tr>
      <w:tr w:rsidR="00387DC4"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87DC4" w:rsidRPr="00E3016A" w:rsidRDefault="00387DC4" w:rsidP="008A7C76">
            <w:pPr>
              <w:rPr>
                <w:rFonts w:ascii="Arial" w:hAnsi="Arial" w:cs="Arial"/>
                <w:sz w:val="18"/>
                <w:szCs w:val="20"/>
              </w:rPr>
            </w:pPr>
            <w:r>
              <w:rPr>
                <w:rFonts w:ascii="Arial" w:hAnsi="Arial" w:cs="Arial"/>
                <w:sz w:val="18"/>
                <w:szCs w:val="20"/>
              </w:rPr>
              <w:t>Engineering</w:t>
            </w:r>
          </w:p>
        </w:tc>
        <w:tc>
          <w:tcPr>
            <w:tcW w:w="3780" w:type="dxa"/>
            <w:gridSpan w:val="2"/>
            <w:vAlign w:val="center"/>
          </w:tcPr>
          <w:p w:rsidR="00387DC4" w:rsidRPr="00E3016A" w:rsidRDefault="00387DC4" w:rsidP="003B2E92">
            <w:pPr>
              <w:rPr>
                <w:rFonts w:ascii="Arial" w:hAnsi="Arial" w:cs="Arial"/>
                <w:sz w:val="18"/>
                <w:szCs w:val="20"/>
              </w:rPr>
            </w:pPr>
            <w:r>
              <w:rPr>
                <w:rFonts w:ascii="Arial" w:hAnsi="Arial" w:cs="Arial"/>
                <w:sz w:val="18"/>
                <w:szCs w:val="20"/>
              </w:rPr>
              <w:t>Krishan Kandial – Engineer I</w:t>
            </w:r>
          </w:p>
        </w:tc>
        <w:tc>
          <w:tcPr>
            <w:tcW w:w="3060" w:type="dxa"/>
            <w:vAlign w:val="center"/>
          </w:tcPr>
          <w:p w:rsidR="00387DC4" w:rsidRPr="00387DC4" w:rsidRDefault="00E44C34" w:rsidP="008A7C76">
            <w:pPr>
              <w:rPr>
                <w:rFonts w:ascii="Arial" w:hAnsi="Arial" w:cs="Arial"/>
              </w:rPr>
            </w:pPr>
            <w:hyperlink r:id="rId12" w:history="1">
              <w:r w:rsidR="00387DC4" w:rsidRPr="00387DC4">
                <w:rPr>
                  <w:rStyle w:val="Hyperlink"/>
                  <w:rFonts w:ascii="Arial" w:hAnsi="Arial" w:cs="Arial"/>
                  <w:sz w:val="18"/>
                </w:rPr>
                <w:t>KKandial@coconutcreek.net</w:t>
              </w:r>
            </w:hyperlink>
          </w:p>
        </w:tc>
        <w:tc>
          <w:tcPr>
            <w:tcW w:w="1890" w:type="dxa"/>
            <w:vAlign w:val="center"/>
          </w:tcPr>
          <w:p w:rsidR="00387DC4" w:rsidRPr="00E3016A" w:rsidRDefault="00387DC4" w:rsidP="008A7C76">
            <w:pPr>
              <w:rPr>
                <w:rFonts w:ascii="Arial" w:hAnsi="Arial" w:cs="Arial"/>
                <w:sz w:val="18"/>
                <w:szCs w:val="20"/>
              </w:rPr>
            </w:pPr>
            <w:r w:rsidRPr="00E3016A">
              <w:rPr>
                <w:rFonts w:ascii="Arial" w:hAnsi="Arial" w:cs="Arial"/>
                <w:sz w:val="18"/>
                <w:szCs w:val="20"/>
              </w:rPr>
              <w:t xml:space="preserve">(954) </w:t>
            </w:r>
            <w:r>
              <w:rPr>
                <w:rFonts w:ascii="Arial" w:hAnsi="Arial" w:cs="Arial"/>
                <w:sz w:val="18"/>
                <w:szCs w:val="20"/>
              </w:rPr>
              <w:t>973-6786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E44C34" w:rsidP="008A7C76">
            <w:pPr>
              <w:rPr>
                <w:rFonts w:ascii="Arial" w:hAnsi="Arial" w:cs="Arial"/>
                <w:sz w:val="18"/>
                <w:szCs w:val="20"/>
              </w:rPr>
            </w:pPr>
            <w:hyperlink r:id="rId13"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973-6756</w:t>
            </w:r>
          </w:p>
        </w:tc>
      </w:tr>
    </w:tbl>
    <w:p w:rsidR="00E3016A" w:rsidRDefault="00E3016A" w:rsidP="00E3016A">
      <w:pPr>
        <w:tabs>
          <w:tab w:val="left" w:leader="dot" w:pos="4320"/>
        </w:tabs>
        <w:ind w:left="-630"/>
        <w:rPr>
          <w:rFonts w:ascii="Arial" w:hAnsi="Arial" w:cs="Arial"/>
          <w:bCs/>
        </w:rPr>
      </w:pPr>
    </w:p>
    <w:p w:rsidR="00AE124B" w:rsidRDefault="00AE124B"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3724A8" w:rsidRPr="00C51C94" w:rsidTr="00282377">
        <w:trPr>
          <w:trHeight w:val="302"/>
        </w:trPr>
        <w:tc>
          <w:tcPr>
            <w:tcW w:w="10260" w:type="dxa"/>
            <w:shd w:val="clear" w:color="auto" w:fill="D9D9D9" w:themeFill="background1" w:themeFillShade="D9"/>
            <w:vAlign w:val="center"/>
          </w:tcPr>
          <w:p w:rsidR="003724A8" w:rsidRPr="00C51C94" w:rsidRDefault="003724A8" w:rsidP="009C61CF">
            <w:pPr>
              <w:jc w:val="both"/>
              <w:rPr>
                <w:rFonts w:ascii="Arial" w:hAnsi="Arial" w:cs="Arial"/>
                <w:b/>
                <w:sz w:val="22"/>
              </w:rPr>
            </w:pPr>
            <w:r>
              <w:rPr>
                <w:rFonts w:ascii="Arial" w:hAnsi="Arial" w:cs="Arial"/>
                <w:b/>
                <w:sz w:val="22"/>
              </w:rPr>
              <w:t>ENGINEERING</w:t>
            </w:r>
            <w:r w:rsidR="00D435D5">
              <w:rPr>
                <w:rFonts w:ascii="Arial" w:hAnsi="Arial" w:cs="Arial"/>
                <w:b/>
                <w:sz w:val="22"/>
              </w:rPr>
              <w:t xml:space="preserve"> </w:t>
            </w:r>
          </w:p>
        </w:tc>
      </w:tr>
    </w:tbl>
    <w:p w:rsidR="009C61CF" w:rsidRDefault="007751BC" w:rsidP="007751BC">
      <w:pPr>
        <w:tabs>
          <w:tab w:val="left" w:pos="0"/>
        </w:tabs>
        <w:ind w:right="-378" w:hanging="540"/>
        <w:rPr>
          <w:rFonts w:ascii="Arial" w:hAnsi="Arial" w:cs="Arial"/>
          <w:bCs/>
          <w:iCs/>
          <w:sz w:val="22"/>
          <w:szCs w:val="22"/>
        </w:rPr>
      </w:pPr>
      <w:r>
        <w:rPr>
          <w:rFonts w:ascii="Arial" w:hAnsi="Arial" w:cs="Arial"/>
          <w:bCs/>
          <w:iCs/>
          <w:sz w:val="22"/>
          <w:szCs w:val="22"/>
        </w:rPr>
        <w:t>Approved no additional comments</w:t>
      </w:r>
    </w:p>
    <w:p w:rsidR="00E54088" w:rsidRDefault="00E54088"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D435D5" w:rsidRPr="00C51C94" w:rsidTr="003611CF">
        <w:trPr>
          <w:trHeight w:val="302"/>
        </w:trPr>
        <w:tc>
          <w:tcPr>
            <w:tcW w:w="9810" w:type="dxa"/>
            <w:shd w:val="clear" w:color="auto" w:fill="D9D9D9" w:themeFill="background1" w:themeFillShade="D9"/>
            <w:vAlign w:val="center"/>
          </w:tcPr>
          <w:p w:rsidR="00D435D5" w:rsidRPr="00C51C94" w:rsidRDefault="00D435D5" w:rsidP="009C61CF">
            <w:pPr>
              <w:jc w:val="both"/>
              <w:rPr>
                <w:rFonts w:ascii="Arial" w:hAnsi="Arial" w:cs="Arial"/>
                <w:b/>
                <w:sz w:val="22"/>
              </w:rPr>
            </w:pPr>
            <w:r>
              <w:rPr>
                <w:rFonts w:ascii="Arial" w:hAnsi="Arial" w:cs="Arial"/>
                <w:b/>
                <w:sz w:val="22"/>
              </w:rPr>
              <w:t xml:space="preserve">GREEN </w:t>
            </w:r>
          </w:p>
        </w:tc>
      </w:tr>
    </w:tbl>
    <w:p w:rsidR="00E54088" w:rsidRPr="00047C86" w:rsidRDefault="006F1FA0" w:rsidP="00261586">
      <w:pPr>
        <w:ind w:left="-450" w:right="-378"/>
        <w:rPr>
          <w:rFonts w:ascii="Arial" w:hAnsi="Arial" w:cs="Arial"/>
          <w:bCs/>
          <w:iCs/>
          <w:sz w:val="22"/>
          <w:szCs w:val="22"/>
        </w:rPr>
      </w:pPr>
      <w:r w:rsidRPr="00047C86">
        <w:rPr>
          <w:rFonts w:ascii="Arial" w:hAnsi="Arial" w:cs="Arial"/>
          <w:bCs/>
          <w:iCs/>
          <w:sz w:val="22"/>
          <w:szCs w:val="22"/>
        </w:rPr>
        <w:t>Passed</w:t>
      </w:r>
      <w:r w:rsidR="00B90DC0" w:rsidRPr="00047C86">
        <w:rPr>
          <w:rFonts w:ascii="Arial" w:hAnsi="Arial" w:cs="Arial"/>
          <w:bCs/>
          <w:iCs/>
          <w:sz w:val="22"/>
          <w:szCs w:val="22"/>
        </w:rPr>
        <w:t xml:space="preserve"> with Conditions</w:t>
      </w:r>
    </w:p>
    <w:p w:rsidR="005C489B" w:rsidRPr="00047C86" w:rsidRDefault="005C489B" w:rsidP="005C489B">
      <w:pPr>
        <w:jc w:val="both"/>
        <w:rPr>
          <w:rFonts w:ascii="Arial" w:hAnsi="Arial" w:cs="Arial"/>
          <w:sz w:val="22"/>
          <w:szCs w:val="22"/>
        </w:rPr>
      </w:pPr>
      <w:r w:rsidRPr="00047C86">
        <w:rPr>
          <w:rFonts w:ascii="Arial" w:hAnsi="Arial" w:cs="Arial"/>
          <w:b/>
          <w:sz w:val="22"/>
          <w:szCs w:val="22"/>
          <w:u w:val="single"/>
        </w:rPr>
        <w:t>General Comments</w:t>
      </w:r>
    </w:p>
    <w:p w:rsidR="005C489B" w:rsidRPr="00047C86" w:rsidRDefault="005C489B" w:rsidP="005C489B">
      <w:pPr>
        <w:numPr>
          <w:ilvl w:val="0"/>
          <w:numId w:val="1"/>
        </w:numPr>
        <w:autoSpaceDE w:val="0"/>
        <w:autoSpaceDN w:val="0"/>
        <w:adjustRightInd w:val="0"/>
        <w:jc w:val="both"/>
        <w:rPr>
          <w:rFonts w:ascii="Arial" w:hAnsi="Arial" w:cs="Arial"/>
          <w:sz w:val="22"/>
          <w:szCs w:val="22"/>
        </w:rPr>
      </w:pPr>
      <w:r w:rsidRPr="00047C86">
        <w:rPr>
          <w:rFonts w:ascii="Arial" w:hAnsi="Arial" w:cs="Arial"/>
          <w:i/>
          <w:sz w:val="22"/>
          <w:szCs w:val="22"/>
        </w:rPr>
        <w:t>Action 1.1</w:t>
      </w:r>
      <w:r w:rsidRPr="00047C86">
        <w:rPr>
          <w:rFonts w:ascii="Arial" w:hAnsi="Arial" w:cs="Arial"/>
          <w:sz w:val="22"/>
          <w:szCs w:val="22"/>
        </w:rPr>
        <w:t xml:space="preserve"> – Achieve LEED Certification for all buildings in the </w:t>
      </w:r>
      <w:proofErr w:type="spellStart"/>
      <w:r w:rsidRPr="00047C86">
        <w:rPr>
          <w:rFonts w:ascii="Arial" w:hAnsi="Arial" w:cs="Arial"/>
          <w:sz w:val="22"/>
          <w:szCs w:val="22"/>
        </w:rPr>
        <w:t>MainStreet</w:t>
      </w:r>
      <w:proofErr w:type="spellEnd"/>
      <w:r w:rsidRPr="00047C86">
        <w:rPr>
          <w:rFonts w:ascii="Arial" w:hAnsi="Arial" w:cs="Arial"/>
          <w:sz w:val="22"/>
          <w:szCs w:val="22"/>
        </w:rPr>
        <w:t xml:space="preserve"> Project Area.</w:t>
      </w:r>
    </w:p>
    <w:p w:rsidR="005C489B" w:rsidRPr="00047C86" w:rsidRDefault="005C489B" w:rsidP="005C489B">
      <w:pPr>
        <w:autoSpaceDE w:val="0"/>
        <w:autoSpaceDN w:val="0"/>
        <w:adjustRightInd w:val="0"/>
        <w:ind w:left="360"/>
        <w:jc w:val="both"/>
        <w:rPr>
          <w:rFonts w:ascii="Arial" w:hAnsi="Arial" w:cs="Arial"/>
          <w:sz w:val="22"/>
          <w:szCs w:val="22"/>
        </w:rPr>
      </w:pPr>
      <w:r w:rsidRPr="00047C86">
        <w:rPr>
          <w:rFonts w:ascii="Arial" w:hAnsi="Arial" w:cs="Arial"/>
          <w:i/>
          <w:sz w:val="22"/>
          <w:szCs w:val="22"/>
        </w:rPr>
        <w:tab/>
        <w:t>Pending receipt of documentation confirming LEED certification.</w:t>
      </w:r>
    </w:p>
    <w:p w:rsidR="005C489B" w:rsidRPr="00047C86" w:rsidRDefault="005C489B" w:rsidP="005C489B">
      <w:pPr>
        <w:pStyle w:val="ListParagraph"/>
        <w:rPr>
          <w:rFonts w:ascii="Arial" w:hAnsi="Arial" w:cs="Arial"/>
          <w:sz w:val="22"/>
          <w:szCs w:val="22"/>
          <w:highlight w:val="yellow"/>
        </w:rPr>
      </w:pPr>
    </w:p>
    <w:p w:rsidR="005C489B" w:rsidRPr="00047C86" w:rsidRDefault="005C489B" w:rsidP="005C489B">
      <w:pPr>
        <w:numPr>
          <w:ilvl w:val="0"/>
          <w:numId w:val="1"/>
        </w:numPr>
        <w:jc w:val="both"/>
        <w:rPr>
          <w:rFonts w:ascii="Arial" w:hAnsi="Arial" w:cs="Arial"/>
          <w:sz w:val="22"/>
          <w:szCs w:val="22"/>
        </w:rPr>
      </w:pPr>
      <w:r w:rsidRPr="00047C86">
        <w:rPr>
          <w:rFonts w:ascii="Arial" w:hAnsi="Arial" w:cs="Arial"/>
          <w:i/>
          <w:sz w:val="22"/>
          <w:szCs w:val="22"/>
        </w:rPr>
        <w:t>Action 1.6</w:t>
      </w:r>
      <w:r w:rsidRPr="00047C86">
        <w:rPr>
          <w:rFonts w:ascii="Arial" w:hAnsi="Arial" w:cs="Arial"/>
          <w:sz w:val="22"/>
          <w:szCs w:val="22"/>
        </w:rPr>
        <w:t xml:space="preserve"> – Ensure 100% of new development projects throughout the City contain conspicuous displays of green technology that function in the project design while providing a social, artistic, and environmental value.</w:t>
      </w:r>
    </w:p>
    <w:p w:rsidR="005C489B" w:rsidRPr="00047C86" w:rsidRDefault="005C489B" w:rsidP="005C489B">
      <w:pPr>
        <w:ind w:left="360"/>
        <w:jc w:val="both"/>
        <w:rPr>
          <w:rFonts w:ascii="Arial" w:hAnsi="Arial" w:cs="Arial"/>
          <w:sz w:val="22"/>
          <w:szCs w:val="22"/>
        </w:rPr>
      </w:pPr>
      <w:r w:rsidRPr="00047C86">
        <w:rPr>
          <w:rFonts w:ascii="Arial" w:hAnsi="Arial" w:cs="Arial"/>
          <w:i/>
          <w:sz w:val="22"/>
          <w:szCs w:val="22"/>
        </w:rPr>
        <w:tab/>
        <w:t>Pending installation of informational signage, solar landscape lighting, solar structure, green screens, bio-filtration swale and vehicle charging station.</w:t>
      </w:r>
    </w:p>
    <w:p w:rsidR="005C489B" w:rsidRPr="00047C86" w:rsidRDefault="005C489B" w:rsidP="005C489B">
      <w:pPr>
        <w:pStyle w:val="ListParagraph"/>
        <w:rPr>
          <w:rFonts w:ascii="Arial" w:hAnsi="Arial" w:cs="Arial"/>
          <w:sz w:val="22"/>
          <w:szCs w:val="22"/>
          <w:highlight w:val="yellow"/>
        </w:rPr>
      </w:pPr>
    </w:p>
    <w:p w:rsidR="005C489B" w:rsidRPr="00047C86" w:rsidRDefault="005C489B" w:rsidP="005C489B">
      <w:pPr>
        <w:numPr>
          <w:ilvl w:val="0"/>
          <w:numId w:val="1"/>
        </w:numPr>
        <w:jc w:val="both"/>
        <w:rPr>
          <w:rFonts w:ascii="Arial" w:hAnsi="Arial" w:cs="Arial"/>
          <w:sz w:val="22"/>
          <w:szCs w:val="22"/>
        </w:rPr>
      </w:pPr>
      <w:r w:rsidRPr="00047C86">
        <w:rPr>
          <w:rFonts w:ascii="Arial" w:hAnsi="Arial" w:cs="Arial"/>
          <w:i/>
          <w:sz w:val="22"/>
          <w:szCs w:val="22"/>
        </w:rPr>
        <w:t>Action 2.2</w:t>
      </w:r>
      <w:r w:rsidRPr="00047C86">
        <w:rPr>
          <w:rFonts w:ascii="Arial" w:hAnsi="Arial" w:cs="Arial"/>
          <w:sz w:val="22"/>
          <w:szCs w:val="22"/>
        </w:rPr>
        <w:t xml:space="preserve"> – Achieve 40% </w:t>
      </w:r>
      <w:proofErr w:type="spellStart"/>
      <w:r w:rsidRPr="00047C86">
        <w:rPr>
          <w:rFonts w:ascii="Arial" w:hAnsi="Arial" w:cs="Arial"/>
          <w:sz w:val="22"/>
          <w:szCs w:val="22"/>
        </w:rPr>
        <w:t>greenroof</w:t>
      </w:r>
      <w:proofErr w:type="spellEnd"/>
      <w:r w:rsidRPr="00047C86">
        <w:rPr>
          <w:rFonts w:ascii="Arial" w:hAnsi="Arial" w:cs="Arial"/>
          <w:sz w:val="22"/>
          <w:szCs w:val="22"/>
        </w:rPr>
        <w:t xml:space="preserve"> coverage for new construction in </w:t>
      </w:r>
      <w:proofErr w:type="spellStart"/>
      <w:r w:rsidRPr="00047C86">
        <w:rPr>
          <w:rFonts w:ascii="Arial" w:hAnsi="Arial" w:cs="Arial"/>
          <w:sz w:val="22"/>
          <w:szCs w:val="22"/>
        </w:rPr>
        <w:t>MainStreet</w:t>
      </w:r>
      <w:proofErr w:type="spellEnd"/>
      <w:r w:rsidRPr="00047C86">
        <w:rPr>
          <w:rFonts w:ascii="Arial" w:hAnsi="Arial" w:cs="Arial"/>
          <w:sz w:val="22"/>
          <w:szCs w:val="22"/>
        </w:rPr>
        <w:t xml:space="preserve"> Project Area and 10% </w:t>
      </w:r>
      <w:proofErr w:type="spellStart"/>
      <w:r w:rsidRPr="00047C86">
        <w:rPr>
          <w:rFonts w:ascii="Arial" w:hAnsi="Arial" w:cs="Arial"/>
          <w:sz w:val="22"/>
          <w:szCs w:val="22"/>
        </w:rPr>
        <w:t>greenroof</w:t>
      </w:r>
      <w:proofErr w:type="spellEnd"/>
      <w:r w:rsidRPr="00047C86">
        <w:rPr>
          <w:rFonts w:ascii="Arial" w:hAnsi="Arial" w:cs="Arial"/>
          <w:sz w:val="22"/>
          <w:szCs w:val="22"/>
        </w:rPr>
        <w:t xml:space="preserve"> coverage for new construction for areas outside of </w:t>
      </w:r>
      <w:proofErr w:type="spellStart"/>
      <w:r w:rsidRPr="00047C86">
        <w:rPr>
          <w:rFonts w:ascii="Arial" w:hAnsi="Arial" w:cs="Arial"/>
          <w:sz w:val="22"/>
          <w:szCs w:val="22"/>
        </w:rPr>
        <w:t>MainStreet</w:t>
      </w:r>
      <w:proofErr w:type="spellEnd"/>
      <w:r w:rsidRPr="00047C86">
        <w:rPr>
          <w:rFonts w:ascii="Arial" w:hAnsi="Arial" w:cs="Arial"/>
          <w:sz w:val="22"/>
          <w:szCs w:val="22"/>
        </w:rPr>
        <w:t>.</w:t>
      </w:r>
    </w:p>
    <w:p w:rsidR="005C489B" w:rsidRPr="00047C86" w:rsidRDefault="005C489B" w:rsidP="005C489B">
      <w:pPr>
        <w:ind w:left="360"/>
        <w:jc w:val="both"/>
        <w:rPr>
          <w:rFonts w:ascii="Arial" w:hAnsi="Arial" w:cs="Arial"/>
          <w:sz w:val="22"/>
          <w:szCs w:val="22"/>
        </w:rPr>
      </w:pPr>
      <w:r w:rsidRPr="00047C86">
        <w:rPr>
          <w:rFonts w:ascii="Arial" w:hAnsi="Arial" w:cs="Arial"/>
          <w:i/>
          <w:sz w:val="22"/>
          <w:szCs w:val="22"/>
        </w:rPr>
        <w:tab/>
        <w:t>Pending installation of solar reflective high-albedo roof.</w:t>
      </w:r>
    </w:p>
    <w:p w:rsidR="005C489B" w:rsidRPr="00047C86" w:rsidRDefault="005C489B" w:rsidP="005C489B">
      <w:pPr>
        <w:autoSpaceDE w:val="0"/>
        <w:autoSpaceDN w:val="0"/>
        <w:adjustRightInd w:val="0"/>
        <w:ind w:left="360"/>
        <w:jc w:val="both"/>
        <w:rPr>
          <w:rFonts w:ascii="Arial" w:hAnsi="Arial" w:cs="Arial"/>
          <w:sz w:val="22"/>
          <w:szCs w:val="22"/>
          <w:highlight w:val="yellow"/>
        </w:rPr>
      </w:pPr>
    </w:p>
    <w:p w:rsidR="005C489B" w:rsidRPr="00047C86" w:rsidRDefault="005C489B" w:rsidP="005C489B">
      <w:pPr>
        <w:numPr>
          <w:ilvl w:val="0"/>
          <w:numId w:val="1"/>
        </w:numPr>
        <w:autoSpaceDE w:val="0"/>
        <w:autoSpaceDN w:val="0"/>
        <w:adjustRightInd w:val="0"/>
        <w:jc w:val="both"/>
        <w:rPr>
          <w:rFonts w:ascii="Arial" w:hAnsi="Arial" w:cs="Arial"/>
          <w:sz w:val="22"/>
          <w:szCs w:val="22"/>
        </w:rPr>
      </w:pPr>
      <w:r w:rsidRPr="00047C86">
        <w:rPr>
          <w:rFonts w:ascii="Arial" w:hAnsi="Arial" w:cs="Arial"/>
          <w:i/>
          <w:sz w:val="22"/>
          <w:szCs w:val="22"/>
        </w:rPr>
        <w:t>Action 5.3</w:t>
      </w:r>
      <w:r w:rsidRPr="00047C86">
        <w:rPr>
          <w:rFonts w:ascii="Arial" w:hAnsi="Arial" w:cs="Arial"/>
          <w:sz w:val="22"/>
          <w:szCs w:val="22"/>
        </w:rPr>
        <w:t xml:space="preserve"> – Require all construction and demolition debris to divert 75% of waste from landfills.</w:t>
      </w:r>
    </w:p>
    <w:p w:rsidR="005C489B" w:rsidRPr="00047C86" w:rsidRDefault="005C489B" w:rsidP="005C489B">
      <w:pPr>
        <w:autoSpaceDE w:val="0"/>
        <w:autoSpaceDN w:val="0"/>
        <w:adjustRightInd w:val="0"/>
        <w:ind w:left="360"/>
        <w:jc w:val="both"/>
        <w:rPr>
          <w:rFonts w:ascii="Arial" w:hAnsi="Arial" w:cs="Arial"/>
          <w:i/>
          <w:sz w:val="22"/>
          <w:szCs w:val="22"/>
          <w:highlight w:val="yellow"/>
        </w:rPr>
      </w:pPr>
      <w:r w:rsidRPr="00047C86">
        <w:rPr>
          <w:rFonts w:ascii="Arial" w:hAnsi="Arial" w:cs="Arial"/>
          <w:i/>
          <w:sz w:val="22"/>
          <w:szCs w:val="22"/>
        </w:rPr>
        <w:tab/>
        <w:t>Pending.</w:t>
      </w:r>
    </w:p>
    <w:p w:rsidR="00B90DC0" w:rsidRDefault="00B90DC0"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5222C8">
        <w:trPr>
          <w:trHeight w:val="302"/>
        </w:trPr>
        <w:tc>
          <w:tcPr>
            <w:tcW w:w="981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lastRenderedPageBreak/>
              <w:t>LANDSCAPE ARCHITECTURE</w:t>
            </w:r>
            <w:r w:rsidR="00D435D5">
              <w:rPr>
                <w:rFonts w:ascii="Arial" w:hAnsi="Arial" w:cs="Arial"/>
                <w:b/>
                <w:sz w:val="22"/>
              </w:rPr>
              <w:t xml:space="preserve"> </w:t>
            </w:r>
          </w:p>
        </w:tc>
      </w:tr>
    </w:tbl>
    <w:p w:rsidR="00A83755" w:rsidRDefault="00D319BB" w:rsidP="00261586">
      <w:pPr>
        <w:ind w:left="-450" w:right="-378"/>
        <w:rPr>
          <w:rFonts w:ascii="Arial" w:hAnsi="Arial" w:cs="Arial"/>
          <w:bCs/>
          <w:iCs/>
          <w:sz w:val="22"/>
          <w:szCs w:val="22"/>
        </w:rPr>
      </w:pPr>
      <w:r>
        <w:rPr>
          <w:rFonts w:ascii="Arial" w:hAnsi="Arial" w:cs="Arial"/>
          <w:bCs/>
          <w:iCs/>
          <w:sz w:val="22"/>
          <w:szCs w:val="22"/>
        </w:rPr>
        <w:t>Approved</w:t>
      </w:r>
    </w:p>
    <w:p w:rsidR="00A83755" w:rsidRDefault="00A83755"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F4451E">
        <w:trPr>
          <w:trHeight w:val="302"/>
        </w:trPr>
        <w:tc>
          <w:tcPr>
            <w:tcW w:w="9810" w:type="dxa"/>
            <w:shd w:val="clear" w:color="auto" w:fill="D9D9D9" w:themeFill="background1" w:themeFillShade="D9"/>
            <w:vAlign w:val="center"/>
          </w:tcPr>
          <w:p w:rsidR="00620AB4" w:rsidRPr="00C51C94" w:rsidRDefault="00620AB4" w:rsidP="000E1AFE">
            <w:pPr>
              <w:jc w:val="both"/>
              <w:rPr>
                <w:rFonts w:ascii="Arial" w:hAnsi="Arial" w:cs="Arial"/>
                <w:b/>
                <w:sz w:val="22"/>
              </w:rPr>
            </w:pPr>
            <w:r>
              <w:rPr>
                <w:rFonts w:ascii="Arial" w:hAnsi="Arial" w:cs="Arial"/>
                <w:b/>
                <w:sz w:val="22"/>
              </w:rPr>
              <w:t>PLANNING AND ZONING</w:t>
            </w:r>
            <w:r w:rsidR="00D435D5">
              <w:rPr>
                <w:rFonts w:ascii="Arial" w:hAnsi="Arial" w:cs="Arial"/>
                <w:b/>
                <w:sz w:val="22"/>
              </w:rPr>
              <w:t xml:space="preserve"> </w:t>
            </w:r>
          </w:p>
        </w:tc>
      </w:tr>
    </w:tbl>
    <w:p w:rsidR="00B90DC0" w:rsidRDefault="00B90DC0" w:rsidP="00B90DC0">
      <w:pPr>
        <w:ind w:left="-450"/>
        <w:jc w:val="both"/>
        <w:rPr>
          <w:rFonts w:ascii="Arial" w:hAnsi="Arial" w:cs="Arial"/>
          <w:color w:val="000000"/>
          <w:sz w:val="22"/>
          <w:szCs w:val="20"/>
        </w:rPr>
      </w:pPr>
      <w:r>
        <w:rPr>
          <w:rFonts w:ascii="Arial" w:hAnsi="Arial" w:cs="Arial"/>
          <w:color w:val="000000"/>
          <w:sz w:val="22"/>
          <w:szCs w:val="20"/>
        </w:rPr>
        <w:t>Passed with Conditions</w:t>
      </w:r>
    </w:p>
    <w:p w:rsidR="00B90DC0" w:rsidRPr="00D0298B" w:rsidRDefault="00B90DC0" w:rsidP="00B90DC0">
      <w:pPr>
        <w:jc w:val="both"/>
        <w:rPr>
          <w:rFonts w:ascii="Arial" w:hAnsi="Arial" w:cs="Arial"/>
          <w:sz w:val="22"/>
          <w:szCs w:val="22"/>
        </w:rPr>
      </w:pPr>
      <w:r w:rsidRPr="00D0298B">
        <w:rPr>
          <w:rFonts w:ascii="Arial" w:hAnsi="Arial" w:cs="Arial"/>
          <w:b/>
          <w:sz w:val="22"/>
          <w:szCs w:val="22"/>
          <w:u w:val="single"/>
        </w:rPr>
        <w:t>General Comments</w:t>
      </w:r>
    </w:p>
    <w:p w:rsidR="00B90DC0" w:rsidRPr="00D0298B" w:rsidRDefault="00B90DC0" w:rsidP="00E44C34">
      <w:pPr>
        <w:numPr>
          <w:ilvl w:val="0"/>
          <w:numId w:val="9"/>
        </w:numPr>
        <w:jc w:val="both"/>
        <w:rPr>
          <w:rFonts w:ascii="Arial" w:hAnsi="Arial" w:cs="Arial"/>
          <w:sz w:val="22"/>
          <w:szCs w:val="22"/>
        </w:rPr>
      </w:pPr>
      <w:bookmarkStart w:id="0" w:name="_GoBack"/>
      <w:bookmarkEnd w:id="0"/>
      <w:r w:rsidRPr="00D0298B">
        <w:rPr>
          <w:rFonts w:ascii="Arial" w:hAnsi="Arial" w:cs="Arial"/>
          <w:sz w:val="22"/>
          <w:szCs w:val="22"/>
        </w:rPr>
        <w:t>Pending PowerPoint (other) presentation at the City Commission meeting.</w:t>
      </w:r>
    </w:p>
    <w:p w:rsidR="00B90DC0" w:rsidRPr="00D0298B" w:rsidRDefault="00B90DC0" w:rsidP="00B90DC0">
      <w:pPr>
        <w:jc w:val="both"/>
        <w:rPr>
          <w:rFonts w:ascii="Arial" w:hAnsi="Arial" w:cs="Arial"/>
          <w:sz w:val="22"/>
          <w:szCs w:val="22"/>
        </w:rPr>
      </w:pPr>
    </w:p>
    <w:p w:rsidR="00B90DC0" w:rsidRPr="00D0298B" w:rsidRDefault="00B90DC0" w:rsidP="00E44C34">
      <w:pPr>
        <w:numPr>
          <w:ilvl w:val="0"/>
          <w:numId w:val="9"/>
        </w:numPr>
        <w:jc w:val="both"/>
        <w:rPr>
          <w:rFonts w:ascii="Arial" w:hAnsi="Arial" w:cs="Arial"/>
          <w:sz w:val="22"/>
          <w:szCs w:val="22"/>
        </w:rPr>
      </w:pPr>
      <w:r w:rsidRPr="00D0298B">
        <w:rPr>
          <w:rFonts w:ascii="Arial" w:hAnsi="Arial" w:cs="Arial"/>
          <w:sz w:val="22"/>
          <w:szCs w:val="22"/>
        </w:rPr>
        <w:t>Pending receipt of final cost recovery for professional landscape review services, Sec.13-80(b).</w:t>
      </w:r>
    </w:p>
    <w:p w:rsidR="00B90DC0" w:rsidRPr="00D0298B" w:rsidRDefault="00B90DC0" w:rsidP="00B90DC0">
      <w:pPr>
        <w:pStyle w:val="ListParagraph"/>
        <w:rPr>
          <w:rFonts w:ascii="Arial" w:hAnsi="Arial" w:cs="Arial"/>
          <w:sz w:val="22"/>
          <w:szCs w:val="22"/>
        </w:rPr>
      </w:pPr>
    </w:p>
    <w:p w:rsidR="00B90DC0" w:rsidRPr="00D0298B" w:rsidRDefault="00B90DC0" w:rsidP="00E44C34">
      <w:pPr>
        <w:numPr>
          <w:ilvl w:val="0"/>
          <w:numId w:val="9"/>
        </w:numPr>
        <w:jc w:val="both"/>
        <w:rPr>
          <w:rFonts w:ascii="Arial" w:hAnsi="Arial" w:cs="Arial"/>
          <w:sz w:val="22"/>
          <w:szCs w:val="22"/>
        </w:rPr>
      </w:pPr>
      <w:r w:rsidRPr="00D0298B">
        <w:rPr>
          <w:rFonts w:ascii="Arial" w:hAnsi="Arial" w:cs="Arial"/>
          <w:sz w:val="22"/>
          <w:szCs w:val="22"/>
        </w:rPr>
        <w:t>Pending receipt of final plans upon City Commission approval, if applicable. Corrected plans shall be unlocked and unsigned per digital submittal requirements.</w:t>
      </w:r>
    </w:p>
    <w:p w:rsidR="00B90DC0" w:rsidRPr="00D0298B" w:rsidRDefault="00B90DC0" w:rsidP="00B90DC0">
      <w:pPr>
        <w:pStyle w:val="ListParagraph"/>
        <w:rPr>
          <w:rFonts w:ascii="Arial" w:hAnsi="Arial" w:cs="Arial"/>
          <w:sz w:val="22"/>
          <w:szCs w:val="22"/>
        </w:rPr>
      </w:pPr>
    </w:p>
    <w:p w:rsidR="00B90DC0" w:rsidRPr="00D0298B" w:rsidRDefault="00B90DC0" w:rsidP="00E44C34">
      <w:pPr>
        <w:numPr>
          <w:ilvl w:val="0"/>
          <w:numId w:val="9"/>
        </w:numPr>
        <w:jc w:val="both"/>
        <w:rPr>
          <w:rFonts w:ascii="Arial" w:hAnsi="Arial" w:cs="Arial"/>
          <w:sz w:val="22"/>
          <w:szCs w:val="22"/>
        </w:rPr>
      </w:pPr>
      <w:r w:rsidRPr="00D0298B">
        <w:rPr>
          <w:rFonts w:ascii="Arial" w:hAnsi="Arial" w:cs="Arial"/>
          <w:sz w:val="22"/>
          <w:szCs w:val="22"/>
        </w:rPr>
        <w:t>Pending completion of Underground Utilities Waiver application pursuant to Ordinance 2005-032, Section 13-142, Underground Utilities.</w:t>
      </w:r>
    </w:p>
    <w:p w:rsidR="00B90DC0" w:rsidRPr="00D0298B" w:rsidRDefault="00B90DC0" w:rsidP="00B90DC0">
      <w:pPr>
        <w:ind w:left="360"/>
        <w:jc w:val="both"/>
        <w:rPr>
          <w:rFonts w:ascii="Arial" w:hAnsi="Arial" w:cs="Arial"/>
          <w:sz w:val="22"/>
          <w:szCs w:val="22"/>
        </w:rPr>
      </w:pPr>
    </w:p>
    <w:p w:rsidR="00B90DC0" w:rsidRPr="00D0298B" w:rsidRDefault="00B90DC0" w:rsidP="00E44C34">
      <w:pPr>
        <w:numPr>
          <w:ilvl w:val="0"/>
          <w:numId w:val="9"/>
        </w:numPr>
        <w:jc w:val="both"/>
        <w:rPr>
          <w:rFonts w:ascii="Arial" w:hAnsi="Arial" w:cs="Arial"/>
          <w:sz w:val="22"/>
          <w:szCs w:val="22"/>
        </w:rPr>
      </w:pPr>
      <w:r w:rsidRPr="00D0298B">
        <w:rPr>
          <w:rFonts w:ascii="Arial" w:hAnsi="Arial" w:cs="Arial"/>
          <w:sz w:val="22"/>
          <w:szCs w:val="22"/>
        </w:rPr>
        <w:t>Pending receipt of recorded NVAL line along NW 37</w:t>
      </w:r>
      <w:r w:rsidRPr="00D0298B">
        <w:rPr>
          <w:rFonts w:ascii="Arial" w:hAnsi="Arial" w:cs="Arial"/>
          <w:sz w:val="22"/>
          <w:szCs w:val="22"/>
          <w:vertAlign w:val="superscript"/>
        </w:rPr>
        <w:t>th</w:t>
      </w:r>
      <w:r w:rsidRPr="00D0298B">
        <w:rPr>
          <w:rFonts w:ascii="Arial" w:hAnsi="Arial" w:cs="Arial"/>
          <w:sz w:val="22"/>
          <w:szCs w:val="22"/>
        </w:rPr>
        <w:t xml:space="preserve"> Street.</w:t>
      </w:r>
    </w:p>
    <w:p w:rsidR="00B90DC0" w:rsidRPr="00D0298B" w:rsidRDefault="00B90DC0" w:rsidP="00B90DC0">
      <w:pPr>
        <w:ind w:left="360"/>
        <w:jc w:val="both"/>
        <w:rPr>
          <w:rFonts w:ascii="Arial" w:hAnsi="Arial" w:cs="Arial"/>
          <w:sz w:val="22"/>
          <w:szCs w:val="22"/>
        </w:rPr>
      </w:pPr>
    </w:p>
    <w:p w:rsidR="00B90DC0" w:rsidRPr="00D0298B" w:rsidRDefault="00B90DC0" w:rsidP="00E44C34">
      <w:pPr>
        <w:numPr>
          <w:ilvl w:val="0"/>
          <w:numId w:val="9"/>
        </w:numPr>
        <w:jc w:val="both"/>
        <w:rPr>
          <w:rFonts w:ascii="Arial" w:hAnsi="Arial" w:cs="Arial"/>
          <w:sz w:val="22"/>
          <w:szCs w:val="22"/>
        </w:rPr>
      </w:pPr>
      <w:r w:rsidRPr="00D0298B">
        <w:rPr>
          <w:rFonts w:ascii="Arial" w:hAnsi="Arial" w:cs="Arial"/>
          <w:sz w:val="22"/>
          <w:szCs w:val="22"/>
        </w:rPr>
        <w:t>Pending receipt of recorded plat note amendment to allow use as proposed.</w:t>
      </w:r>
    </w:p>
    <w:p w:rsidR="00B90DC0" w:rsidRPr="00D0298B" w:rsidRDefault="00B90DC0" w:rsidP="00B90DC0">
      <w:pPr>
        <w:ind w:left="360"/>
        <w:jc w:val="both"/>
        <w:rPr>
          <w:rFonts w:ascii="Arial" w:hAnsi="Arial" w:cs="Arial"/>
          <w:sz w:val="22"/>
          <w:szCs w:val="22"/>
        </w:rPr>
      </w:pPr>
    </w:p>
    <w:p w:rsidR="00B90DC0" w:rsidRPr="00D0298B" w:rsidRDefault="00B90DC0" w:rsidP="00E44C34">
      <w:pPr>
        <w:numPr>
          <w:ilvl w:val="0"/>
          <w:numId w:val="9"/>
        </w:numPr>
        <w:jc w:val="both"/>
        <w:rPr>
          <w:rFonts w:ascii="Arial" w:hAnsi="Arial" w:cs="Arial"/>
          <w:sz w:val="22"/>
          <w:szCs w:val="22"/>
        </w:rPr>
      </w:pPr>
      <w:r w:rsidRPr="00D0298B">
        <w:rPr>
          <w:rFonts w:ascii="Arial" w:hAnsi="Arial" w:cs="Arial"/>
          <w:sz w:val="22"/>
          <w:szCs w:val="22"/>
        </w:rPr>
        <w:t>Pending Affordable Housing Linkage fee payment prior to building permit issuance.</w:t>
      </w:r>
    </w:p>
    <w:p w:rsidR="00B90DC0" w:rsidRPr="00D0298B" w:rsidRDefault="00B90DC0" w:rsidP="00B90DC0">
      <w:pPr>
        <w:ind w:left="360"/>
        <w:jc w:val="both"/>
        <w:rPr>
          <w:rFonts w:ascii="Arial" w:hAnsi="Arial" w:cs="Arial"/>
          <w:sz w:val="22"/>
          <w:szCs w:val="22"/>
        </w:rPr>
      </w:pPr>
    </w:p>
    <w:p w:rsidR="00B90DC0" w:rsidRPr="00D0298B" w:rsidRDefault="00B90DC0" w:rsidP="00E44C34">
      <w:pPr>
        <w:numPr>
          <w:ilvl w:val="0"/>
          <w:numId w:val="9"/>
        </w:numPr>
        <w:jc w:val="both"/>
        <w:rPr>
          <w:rFonts w:ascii="Arial" w:hAnsi="Arial" w:cs="Arial"/>
          <w:sz w:val="22"/>
          <w:szCs w:val="22"/>
        </w:rPr>
      </w:pPr>
      <w:r w:rsidRPr="00D0298B">
        <w:rPr>
          <w:rFonts w:ascii="Arial" w:hAnsi="Arial" w:cs="Arial"/>
          <w:sz w:val="22"/>
          <w:szCs w:val="22"/>
        </w:rPr>
        <w:t>Pending Police &amp; Fire/Rescue facilities fee payment prior to building permit issuance.</w:t>
      </w:r>
    </w:p>
    <w:p w:rsidR="00B90DC0" w:rsidRPr="00D0298B" w:rsidRDefault="00B90DC0" w:rsidP="00B90DC0">
      <w:pPr>
        <w:ind w:left="360"/>
        <w:jc w:val="both"/>
        <w:rPr>
          <w:rFonts w:ascii="Arial" w:hAnsi="Arial" w:cs="Arial"/>
          <w:b/>
          <w:sz w:val="22"/>
          <w:szCs w:val="22"/>
          <w:u w:val="single"/>
        </w:rPr>
      </w:pPr>
    </w:p>
    <w:p w:rsidR="00B90DC0" w:rsidRPr="00D0298B" w:rsidRDefault="00B90DC0" w:rsidP="00B90DC0">
      <w:pPr>
        <w:jc w:val="both"/>
        <w:rPr>
          <w:rFonts w:ascii="Arial" w:hAnsi="Arial" w:cs="Arial"/>
          <w:sz w:val="22"/>
        </w:rPr>
      </w:pPr>
      <w:r w:rsidRPr="00D0298B">
        <w:rPr>
          <w:rFonts w:ascii="Arial" w:hAnsi="Arial" w:cs="Arial"/>
          <w:b/>
          <w:sz w:val="22"/>
          <w:szCs w:val="22"/>
          <w:u w:val="single"/>
        </w:rPr>
        <w:t>Site Plan</w:t>
      </w:r>
    </w:p>
    <w:p w:rsidR="00B90DC0" w:rsidRPr="00D0298B" w:rsidRDefault="00B90DC0" w:rsidP="00E44C34">
      <w:pPr>
        <w:numPr>
          <w:ilvl w:val="0"/>
          <w:numId w:val="9"/>
        </w:numPr>
        <w:contextualSpacing/>
        <w:jc w:val="both"/>
        <w:rPr>
          <w:rFonts w:ascii="Arial" w:hAnsi="Arial" w:cs="Arial"/>
          <w:sz w:val="22"/>
        </w:rPr>
      </w:pPr>
      <w:r w:rsidRPr="00D0298B">
        <w:rPr>
          <w:rFonts w:ascii="Arial" w:hAnsi="Arial" w:cs="Arial"/>
          <w:sz w:val="22"/>
        </w:rPr>
        <w:t xml:space="preserve">Pending installation of greenway sidewalk along </w:t>
      </w:r>
      <w:r w:rsidRPr="00D0298B">
        <w:rPr>
          <w:rFonts w:ascii="Arial" w:hAnsi="Arial" w:cs="Arial"/>
          <w:sz w:val="22"/>
          <w:szCs w:val="22"/>
        </w:rPr>
        <w:t>perimeter, NW 37</w:t>
      </w:r>
      <w:r w:rsidRPr="00D0298B">
        <w:rPr>
          <w:rFonts w:ascii="Arial" w:hAnsi="Arial" w:cs="Arial"/>
          <w:sz w:val="22"/>
          <w:szCs w:val="22"/>
          <w:vertAlign w:val="superscript"/>
        </w:rPr>
        <w:t>th</w:t>
      </w:r>
      <w:r w:rsidRPr="00D0298B">
        <w:rPr>
          <w:rFonts w:ascii="Arial" w:hAnsi="Arial" w:cs="Arial"/>
          <w:sz w:val="22"/>
          <w:szCs w:val="22"/>
        </w:rPr>
        <w:t xml:space="preserve"> Street and NW 47</w:t>
      </w:r>
      <w:r w:rsidRPr="00D0298B">
        <w:rPr>
          <w:rFonts w:ascii="Arial" w:hAnsi="Arial" w:cs="Arial"/>
          <w:sz w:val="22"/>
          <w:szCs w:val="22"/>
          <w:vertAlign w:val="superscript"/>
        </w:rPr>
        <w:t>th</w:t>
      </w:r>
      <w:r w:rsidRPr="00D0298B">
        <w:rPr>
          <w:rFonts w:ascii="Arial" w:hAnsi="Arial" w:cs="Arial"/>
          <w:sz w:val="22"/>
          <w:szCs w:val="22"/>
        </w:rPr>
        <w:t xml:space="preserve"> Avenue with Solomon 415 red/Venetian red as an </w:t>
      </w:r>
      <w:r w:rsidRPr="00D0298B">
        <w:rPr>
          <w:rFonts w:ascii="Arial" w:hAnsi="Arial" w:cs="Arial"/>
          <w:b/>
          <w:sz w:val="22"/>
          <w:szCs w:val="22"/>
        </w:rPr>
        <w:t>integrated</w:t>
      </w:r>
      <w:r w:rsidRPr="00D0298B">
        <w:rPr>
          <w:rFonts w:ascii="Arial" w:hAnsi="Arial" w:cs="Arial"/>
          <w:sz w:val="22"/>
          <w:szCs w:val="22"/>
        </w:rPr>
        <w:t xml:space="preserve"> color </w:t>
      </w:r>
      <w:r w:rsidRPr="00D0298B">
        <w:rPr>
          <w:rFonts w:ascii="Arial" w:hAnsi="Arial" w:cs="Arial"/>
          <w:b/>
          <w:sz w:val="22"/>
          <w:szCs w:val="22"/>
        </w:rPr>
        <w:t>not</w:t>
      </w:r>
      <w:r w:rsidRPr="00D0298B">
        <w:rPr>
          <w:rFonts w:ascii="Arial" w:hAnsi="Arial" w:cs="Arial"/>
          <w:sz w:val="22"/>
          <w:szCs w:val="22"/>
        </w:rPr>
        <w:t xml:space="preserve"> a top-coat. Be advised, Certificate of Occupancy will be predicated upon compliance with this requirement.</w:t>
      </w:r>
    </w:p>
    <w:p w:rsidR="00B90DC0" w:rsidRPr="00D0298B" w:rsidRDefault="00B90DC0" w:rsidP="00B90DC0">
      <w:pPr>
        <w:ind w:left="360"/>
        <w:jc w:val="both"/>
        <w:rPr>
          <w:rFonts w:ascii="Arial" w:hAnsi="Arial" w:cs="Arial"/>
          <w:sz w:val="22"/>
          <w:szCs w:val="22"/>
        </w:rPr>
      </w:pPr>
    </w:p>
    <w:p w:rsidR="00B90DC0" w:rsidRPr="00D0298B" w:rsidRDefault="00B90DC0" w:rsidP="00E44C34">
      <w:pPr>
        <w:numPr>
          <w:ilvl w:val="0"/>
          <w:numId w:val="9"/>
        </w:numPr>
        <w:jc w:val="both"/>
        <w:rPr>
          <w:rFonts w:ascii="Arial" w:hAnsi="Arial" w:cs="Arial"/>
          <w:sz w:val="22"/>
          <w:szCs w:val="22"/>
        </w:rPr>
      </w:pPr>
      <w:r w:rsidRPr="00D0298B">
        <w:rPr>
          <w:rFonts w:ascii="Arial" w:hAnsi="Arial" w:cs="Arial"/>
          <w:sz w:val="22"/>
          <w:szCs w:val="22"/>
        </w:rPr>
        <w:t xml:space="preserve">Staff again suggests bollards placed only at doors versus 26 bollards proposed along entire front. </w:t>
      </w:r>
      <w:r w:rsidRPr="00D0298B">
        <w:rPr>
          <w:rFonts w:ascii="Arial" w:hAnsi="Arial" w:cs="Arial"/>
          <w:i/>
          <w:sz w:val="22"/>
          <w:szCs w:val="22"/>
        </w:rPr>
        <w:t>Pending consideration.</w:t>
      </w:r>
    </w:p>
    <w:p w:rsidR="00B90DC0" w:rsidRPr="00D0298B" w:rsidRDefault="00B90DC0" w:rsidP="00B90DC0">
      <w:pPr>
        <w:ind w:left="360"/>
        <w:contextualSpacing/>
        <w:jc w:val="both"/>
        <w:rPr>
          <w:rFonts w:ascii="Arial" w:hAnsi="Arial" w:cs="Arial"/>
          <w:sz w:val="22"/>
        </w:rPr>
      </w:pPr>
    </w:p>
    <w:p w:rsidR="00B90DC0" w:rsidRPr="00D0298B" w:rsidRDefault="00B90DC0" w:rsidP="00E44C34">
      <w:pPr>
        <w:numPr>
          <w:ilvl w:val="0"/>
          <w:numId w:val="9"/>
        </w:numPr>
        <w:contextualSpacing/>
        <w:jc w:val="both"/>
        <w:rPr>
          <w:rFonts w:ascii="Arial" w:hAnsi="Arial" w:cs="Arial"/>
          <w:sz w:val="22"/>
        </w:rPr>
      </w:pPr>
      <w:r w:rsidRPr="00D0298B">
        <w:rPr>
          <w:rFonts w:ascii="Arial" w:hAnsi="Arial" w:cs="Arial"/>
          <w:sz w:val="22"/>
        </w:rPr>
        <w:t>Per applicant, a temporary construction trailer is not proposed.</w:t>
      </w:r>
    </w:p>
    <w:p w:rsidR="00B90DC0" w:rsidRPr="00D0298B" w:rsidRDefault="00B90DC0" w:rsidP="00B90DC0">
      <w:pPr>
        <w:pStyle w:val="ListParagraph"/>
        <w:rPr>
          <w:rFonts w:ascii="Arial" w:hAnsi="Arial" w:cs="Arial"/>
          <w:sz w:val="22"/>
        </w:rPr>
      </w:pPr>
    </w:p>
    <w:p w:rsidR="00B90DC0" w:rsidRPr="00D0298B" w:rsidRDefault="00B90DC0" w:rsidP="00E44C34">
      <w:pPr>
        <w:numPr>
          <w:ilvl w:val="0"/>
          <w:numId w:val="9"/>
        </w:numPr>
        <w:contextualSpacing/>
        <w:jc w:val="both"/>
        <w:rPr>
          <w:rFonts w:ascii="Arial" w:hAnsi="Arial" w:cs="Arial"/>
          <w:sz w:val="22"/>
          <w:szCs w:val="22"/>
        </w:rPr>
      </w:pPr>
      <w:r w:rsidRPr="00D0298B">
        <w:rPr>
          <w:rFonts w:ascii="Arial" w:hAnsi="Arial" w:cs="Arial"/>
          <w:sz w:val="22"/>
        </w:rPr>
        <w:t>Per applicant, outdoor propane tank storage is not proposed.</w:t>
      </w:r>
    </w:p>
    <w:p w:rsidR="00B90DC0" w:rsidRPr="00D0298B" w:rsidRDefault="00B90DC0" w:rsidP="00B90DC0">
      <w:pPr>
        <w:contextualSpacing/>
        <w:jc w:val="both"/>
        <w:rPr>
          <w:rFonts w:ascii="Arial" w:hAnsi="Arial" w:cs="Arial"/>
          <w:sz w:val="22"/>
          <w:szCs w:val="22"/>
        </w:rPr>
      </w:pPr>
    </w:p>
    <w:p w:rsidR="00B90DC0" w:rsidRPr="00D0298B" w:rsidRDefault="00B90DC0" w:rsidP="00E44C34">
      <w:pPr>
        <w:numPr>
          <w:ilvl w:val="0"/>
          <w:numId w:val="9"/>
        </w:numPr>
        <w:contextualSpacing/>
        <w:jc w:val="both"/>
        <w:rPr>
          <w:rFonts w:ascii="Arial" w:hAnsi="Arial" w:cs="Arial"/>
          <w:sz w:val="22"/>
        </w:rPr>
      </w:pPr>
      <w:r w:rsidRPr="00D0298B">
        <w:rPr>
          <w:rFonts w:ascii="Arial" w:hAnsi="Arial" w:cs="Arial"/>
          <w:sz w:val="22"/>
        </w:rPr>
        <w:t>Pending approval to allow outdoor ice vending machine.</w:t>
      </w:r>
    </w:p>
    <w:p w:rsidR="00B90DC0" w:rsidRPr="00D0298B" w:rsidRDefault="00B90DC0" w:rsidP="00B90DC0">
      <w:pPr>
        <w:ind w:left="360"/>
        <w:jc w:val="both"/>
        <w:rPr>
          <w:rFonts w:ascii="Arial" w:hAnsi="Arial" w:cs="Arial"/>
          <w:sz w:val="22"/>
          <w:szCs w:val="22"/>
        </w:rPr>
      </w:pPr>
    </w:p>
    <w:p w:rsidR="00B90DC0" w:rsidRPr="00D0298B" w:rsidRDefault="00B90DC0" w:rsidP="00E44C34">
      <w:pPr>
        <w:numPr>
          <w:ilvl w:val="0"/>
          <w:numId w:val="9"/>
        </w:numPr>
        <w:jc w:val="both"/>
        <w:rPr>
          <w:rFonts w:ascii="Arial" w:hAnsi="Arial" w:cs="Arial"/>
          <w:sz w:val="22"/>
          <w:szCs w:val="22"/>
        </w:rPr>
      </w:pPr>
      <w:r w:rsidRPr="00D0298B">
        <w:rPr>
          <w:rFonts w:ascii="Arial" w:hAnsi="Arial" w:cs="Arial"/>
          <w:sz w:val="22"/>
          <w:szCs w:val="22"/>
        </w:rPr>
        <w:t xml:space="preserve">Removal of a portion of the east landscape island at the Sample Road entrance is proposed. Access drives from public ROW shall prevent maneuvering of vehicles within any portion of any entrance driveway within fifty (50) feet of the ROW line of any public street, Sec.13-399(k). </w:t>
      </w:r>
      <w:r w:rsidRPr="00D0298B">
        <w:rPr>
          <w:rFonts w:ascii="Arial" w:hAnsi="Arial" w:cs="Arial"/>
          <w:i/>
          <w:sz w:val="22"/>
          <w:szCs w:val="22"/>
        </w:rPr>
        <w:t>Pending approval and pavement markings and signage installation per with traffic study recommendations provided by the applicant.</w:t>
      </w:r>
    </w:p>
    <w:p w:rsidR="00B90DC0" w:rsidRPr="00D0298B" w:rsidRDefault="00B90DC0" w:rsidP="00B90DC0">
      <w:pPr>
        <w:ind w:left="360"/>
        <w:jc w:val="both"/>
        <w:rPr>
          <w:rFonts w:ascii="Arial" w:hAnsi="Arial" w:cs="Arial"/>
          <w:b/>
          <w:sz w:val="22"/>
          <w:szCs w:val="22"/>
          <w:u w:val="single"/>
        </w:rPr>
      </w:pPr>
    </w:p>
    <w:p w:rsidR="00B90DC0" w:rsidRPr="00D0298B" w:rsidRDefault="00B90DC0" w:rsidP="00B90DC0">
      <w:pPr>
        <w:jc w:val="both"/>
        <w:rPr>
          <w:rFonts w:ascii="Arial" w:hAnsi="Arial" w:cs="Arial"/>
          <w:sz w:val="22"/>
          <w:szCs w:val="22"/>
        </w:rPr>
      </w:pPr>
      <w:proofErr w:type="spellStart"/>
      <w:r w:rsidRPr="00D0298B">
        <w:rPr>
          <w:rFonts w:ascii="Arial" w:hAnsi="Arial" w:cs="Arial"/>
          <w:b/>
          <w:sz w:val="22"/>
          <w:szCs w:val="22"/>
          <w:u w:val="single"/>
        </w:rPr>
        <w:t>Photometrics</w:t>
      </w:r>
      <w:proofErr w:type="spellEnd"/>
    </w:p>
    <w:p w:rsidR="00B90DC0" w:rsidRPr="00D0298B" w:rsidRDefault="00B90DC0" w:rsidP="00E44C34">
      <w:pPr>
        <w:numPr>
          <w:ilvl w:val="0"/>
          <w:numId w:val="9"/>
        </w:numPr>
        <w:contextualSpacing/>
        <w:jc w:val="both"/>
        <w:rPr>
          <w:rFonts w:ascii="Arial" w:hAnsi="Arial" w:cs="Arial"/>
          <w:sz w:val="22"/>
        </w:rPr>
      </w:pPr>
      <w:r w:rsidRPr="00D0298B">
        <w:rPr>
          <w:rFonts w:ascii="Arial" w:hAnsi="Arial" w:cs="Arial"/>
          <w:sz w:val="22"/>
          <w:szCs w:val="22"/>
        </w:rPr>
        <w:lastRenderedPageBreak/>
        <w:t>Be advised, building C.O. is predicated upon meeting the maximum fc requirement. Site lighting will be measured in the field using a light meter to ensure that the 10 fc limit is not exceeded.</w:t>
      </w:r>
    </w:p>
    <w:p w:rsidR="00B90DC0" w:rsidRPr="00D0298B" w:rsidRDefault="00B90DC0" w:rsidP="00B90DC0">
      <w:pPr>
        <w:pStyle w:val="ListParagraph"/>
        <w:rPr>
          <w:rFonts w:ascii="Arial" w:hAnsi="Arial" w:cs="Arial"/>
          <w:sz w:val="22"/>
        </w:rPr>
      </w:pPr>
    </w:p>
    <w:p w:rsidR="00B90DC0" w:rsidRPr="00D0298B" w:rsidRDefault="00B90DC0" w:rsidP="00E44C34">
      <w:pPr>
        <w:numPr>
          <w:ilvl w:val="0"/>
          <w:numId w:val="9"/>
        </w:numPr>
        <w:contextualSpacing/>
        <w:jc w:val="both"/>
        <w:rPr>
          <w:rFonts w:ascii="Arial" w:hAnsi="Arial" w:cs="Arial"/>
          <w:sz w:val="22"/>
        </w:rPr>
      </w:pPr>
      <w:r w:rsidRPr="00D0298B">
        <w:rPr>
          <w:rFonts w:ascii="Arial" w:hAnsi="Arial" w:cs="Arial"/>
          <w:sz w:val="22"/>
        </w:rPr>
        <w:t>Wall packs are prohibited. Remove all references to wall packs on plans.</w:t>
      </w:r>
    </w:p>
    <w:p w:rsidR="00B90DC0" w:rsidRPr="0062534C" w:rsidRDefault="00B90DC0" w:rsidP="00B90DC0">
      <w:pPr>
        <w:ind w:left="360"/>
        <w:jc w:val="both"/>
        <w:rPr>
          <w:rFonts w:ascii="Arial" w:hAnsi="Arial" w:cs="Arial"/>
          <w:szCs w:val="22"/>
        </w:rPr>
      </w:pPr>
    </w:p>
    <w:p w:rsidR="00B90DC0" w:rsidRPr="002A5BF4" w:rsidRDefault="00B90DC0" w:rsidP="00B90DC0">
      <w:pPr>
        <w:jc w:val="both"/>
        <w:rPr>
          <w:rFonts w:ascii="Arial" w:hAnsi="Arial" w:cs="Arial"/>
          <w:szCs w:val="22"/>
        </w:rPr>
      </w:pPr>
      <w:r>
        <w:rPr>
          <w:rFonts w:ascii="Arial" w:hAnsi="Arial" w:cs="Arial"/>
          <w:b/>
          <w:szCs w:val="22"/>
          <w:u w:val="single"/>
        </w:rPr>
        <w:t>Signage</w:t>
      </w:r>
    </w:p>
    <w:p w:rsidR="00B90DC0" w:rsidRPr="00B90DC0" w:rsidRDefault="00B90DC0" w:rsidP="00E44C34">
      <w:pPr>
        <w:pStyle w:val="p0"/>
        <w:numPr>
          <w:ilvl w:val="0"/>
          <w:numId w:val="9"/>
        </w:numPr>
        <w:spacing w:before="0" w:after="0"/>
        <w:jc w:val="both"/>
        <w:rPr>
          <w:sz w:val="22"/>
          <w:szCs w:val="22"/>
        </w:rPr>
      </w:pPr>
      <w:r w:rsidRPr="00B90DC0">
        <w:rPr>
          <w:sz w:val="22"/>
          <w:szCs w:val="22"/>
        </w:rPr>
        <w:t>Staff recognizes sign criteria as proposed in the PMDD. However, criteria included in the PMDD does not provide required alternative design solutions or even minimum specific sign design standards. Staff suggests applicant contact staff to discuss signage.</w:t>
      </w:r>
    </w:p>
    <w:p w:rsidR="00B90DC0" w:rsidRPr="00B90DC0" w:rsidRDefault="00B90DC0" w:rsidP="00B90DC0">
      <w:pPr>
        <w:autoSpaceDN w:val="0"/>
        <w:ind w:left="360"/>
        <w:jc w:val="both"/>
        <w:rPr>
          <w:rFonts w:ascii="Arial" w:hAnsi="Arial" w:cs="Arial"/>
          <w:sz w:val="22"/>
          <w:szCs w:val="22"/>
        </w:rPr>
      </w:pPr>
    </w:p>
    <w:p w:rsidR="00B90DC0" w:rsidRPr="00B90DC0" w:rsidRDefault="00B90DC0" w:rsidP="00E44C34">
      <w:pPr>
        <w:numPr>
          <w:ilvl w:val="0"/>
          <w:numId w:val="9"/>
        </w:numPr>
        <w:autoSpaceDN w:val="0"/>
        <w:jc w:val="both"/>
        <w:rPr>
          <w:rFonts w:ascii="Arial" w:hAnsi="Arial" w:cs="Arial"/>
          <w:sz w:val="22"/>
          <w:szCs w:val="22"/>
        </w:rPr>
      </w:pPr>
      <w:r w:rsidRPr="00B90DC0">
        <w:rPr>
          <w:rFonts w:ascii="Arial" w:hAnsi="Arial" w:cs="Arial"/>
          <w:sz w:val="22"/>
          <w:szCs w:val="22"/>
        </w:rPr>
        <w:t>Sec.13-460(k</w:t>
      </w:r>
      <w:proofErr w:type="gramStart"/>
      <w:r w:rsidRPr="00B90DC0">
        <w:rPr>
          <w:rFonts w:ascii="Arial" w:hAnsi="Arial" w:cs="Arial"/>
          <w:sz w:val="22"/>
          <w:szCs w:val="22"/>
        </w:rPr>
        <w:t>)(</w:t>
      </w:r>
      <w:proofErr w:type="gramEnd"/>
      <w:r w:rsidRPr="00B90DC0">
        <w:rPr>
          <w:rFonts w:ascii="Arial" w:hAnsi="Arial" w:cs="Arial"/>
          <w:sz w:val="22"/>
          <w:szCs w:val="22"/>
        </w:rPr>
        <w:t xml:space="preserve">2) – Cabinet signs when used as a logo, shall follow the contour of the logo. A contoured logo may not sit inside a square cabinet. Sides or returns of the sign must be opaque.  </w:t>
      </w:r>
      <w:r w:rsidRPr="00B90DC0">
        <w:rPr>
          <w:rFonts w:ascii="Arial" w:hAnsi="Arial" w:cs="Arial"/>
          <w:i/>
          <w:sz w:val="22"/>
          <w:szCs w:val="22"/>
        </w:rPr>
        <w:t xml:space="preserve">Revise Shell </w:t>
      </w:r>
      <w:proofErr w:type="spellStart"/>
      <w:r w:rsidRPr="00B90DC0">
        <w:rPr>
          <w:rFonts w:ascii="Arial" w:hAnsi="Arial" w:cs="Arial"/>
          <w:i/>
          <w:sz w:val="22"/>
          <w:szCs w:val="22"/>
        </w:rPr>
        <w:t>Pecten</w:t>
      </w:r>
      <w:proofErr w:type="spellEnd"/>
      <w:r w:rsidRPr="00B90DC0">
        <w:rPr>
          <w:rFonts w:ascii="Arial" w:hAnsi="Arial" w:cs="Arial"/>
          <w:i/>
          <w:sz w:val="22"/>
          <w:szCs w:val="22"/>
        </w:rPr>
        <w:t xml:space="preserve"> Logos to follow contour of logo as required.</w:t>
      </w:r>
    </w:p>
    <w:p w:rsidR="00B90DC0" w:rsidRPr="00B90DC0" w:rsidRDefault="00B90DC0" w:rsidP="00B90DC0">
      <w:pPr>
        <w:pStyle w:val="ListParagraph"/>
        <w:rPr>
          <w:rFonts w:ascii="Arial" w:hAnsi="Arial" w:cs="Arial"/>
          <w:sz w:val="22"/>
          <w:szCs w:val="22"/>
        </w:rPr>
      </w:pPr>
    </w:p>
    <w:p w:rsidR="00E87DE7" w:rsidRDefault="00B90DC0" w:rsidP="00E44C34">
      <w:pPr>
        <w:numPr>
          <w:ilvl w:val="0"/>
          <w:numId w:val="9"/>
        </w:numPr>
        <w:autoSpaceDN w:val="0"/>
        <w:jc w:val="both"/>
        <w:rPr>
          <w:rFonts w:ascii="Arial" w:hAnsi="Arial" w:cs="Arial"/>
          <w:sz w:val="22"/>
          <w:szCs w:val="22"/>
        </w:rPr>
      </w:pPr>
      <w:r w:rsidRPr="00B90DC0">
        <w:rPr>
          <w:rFonts w:ascii="Arial" w:hAnsi="Arial" w:cs="Arial"/>
          <w:sz w:val="22"/>
          <w:szCs w:val="22"/>
        </w:rPr>
        <w:t xml:space="preserve">Identify what the additional logo or image is that is proposed adjacent to the Shell </w:t>
      </w:r>
      <w:proofErr w:type="spellStart"/>
      <w:r w:rsidRPr="00B90DC0">
        <w:rPr>
          <w:rFonts w:ascii="Arial" w:hAnsi="Arial" w:cs="Arial"/>
          <w:sz w:val="22"/>
          <w:szCs w:val="22"/>
        </w:rPr>
        <w:t>Pecten</w:t>
      </w:r>
      <w:proofErr w:type="spellEnd"/>
      <w:r w:rsidRPr="00B90DC0">
        <w:rPr>
          <w:rFonts w:ascii="Arial" w:hAnsi="Arial" w:cs="Arial"/>
          <w:sz w:val="22"/>
          <w:szCs w:val="22"/>
        </w:rPr>
        <w:t>. Be advised, only one (1) logo sign may be provided on canopy face</w:t>
      </w:r>
      <w:r w:rsidR="00E87DE7">
        <w:rPr>
          <w:rFonts w:ascii="Arial" w:hAnsi="Arial" w:cs="Arial"/>
          <w:sz w:val="22"/>
          <w:szCs w:val="22"/>
        </w:rPr>
        <w:t>.</w:t>
      </w:r>
    </w:p>
    <w:p w:rsidR="00E87DE7" w:rsidRPr="00E87DE7" w:rsidRDefault="00E87DE7" w:rsidP="00E87DE7">
      <w:pPr>
        <w:pStyle w:val="ListParagraph"/>
        <w:rPr>
          <w:rFonts w:ascii="Arial" w:hAnsi="Arial" w:cs="Arial"/>
          <w:sz w:val="22"/>
          <w:szCs w:val="22"/>
        </w:rPr>
      </w:pPr>
    </w:p>
    <w:p w:rsidR="00B90DC0" w:rsidRPr="00E87DE7" w:rsidRDefault="00B90DC0" w:rsidP="00E44C34">
      <w:pPr>
        <w:numPr>
          <w:ilvl w:val="0"/>
          <w:numId w:val="9"/>
        </w:numPr>
        <w:autoSpaceDN w:val="0"/>
        <w:jc w:val="both"/>
        <w:rPr>
          <w:rFonts w:ascii="Arial" w:hAnsi="Arial" w:cs="Arial"/>
          <w:sz w:val="22"/>
          <w:szCs w:val="22"/>
        </w:rPr>
      </w:pPr>
      <w:r w:rsidRPr="00E87DE7">
        <w:rPr>
          <w:rFonts w:ascii="Arial" w:hAnsi="Arial" w:cs="Arial"/>
          <w:sz w:val="22"/>
          <w:szCs w:val="22"/>
        </w:rPr>
        <w:t>Ground sign may not exceed fifty (50) square feet. Proposed monument is 103 sq. ft.</w:t>
      </w:r>
    </w:p>
    <w:p w:rsidR="00B90DC0" w:rsidRPr="00E87DE7" w:rsidRDefault="00B90DC0" w:rsidP="00B90DC0">
      <w:pPr>
        <w:pStyle w:val="list0"/>
        <w:spacing w:after="0"/>
        <w:ind w:hanging="72"/>
        <w:rPr>
          <w:sz w:val="22"/>
          <w:szCs w:val="22"/>
        </w:rPr>
      </w:pPr>
      <w:r w:rsidRPr="00E87DE7">
        <w:rPr>
          <w:sz w:val="22"/>
          <w:szCs w:val="22"/>
        </w:rPr>
        <w:t xml:space="preserve">Sec.13-466.6 - </w:t>
      </w:r>
      <w:r w:rsidRPr="00E87DE7">
        <w:rPr>
          <w:i/>
          <w:iCs/>
          <w:sz w:val="22"/>
          <w:szCs w:val="22"/>
        </w:rPr>
        <w:t>Ground identification sign allowance for nonresidential uses</w:t>
      </w:r>
      <w:r w:rsidRPr="00E87DE7">
        <w:rPr>
          <w:sz w:val="22"/>
          <w:szCs w:val="22"/>
        </w:rPr>
        <w:t>.</w:t>
      </w:r>
    </w:p>
    <w:p w:rsidR="00B90DC0" w:rsidRDefault="00B90DC0" w:rsidP="00B90DC0">
      <w:pPr>
        <w:pStyle w:val="list1"/>
        <w:spacing w:after="0"/>
        <w:ind w:left="288" w:hanging="288"/>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2581"/>
        <w:gridCol w:w="2909"/>
      </w:tblGrid>
      <w:tr w:rsidR="00B90DC0" w:rsidRPr="00E079C0" w:rsidTr="00E87DE7">
        <w:trPr>
          <w:jc w:val="center"/>
        </w:trPr>
        <w:tc>
          <w:tcPr>
            <w:tcW w:w="1170" w:type="dxa"/>
            <w:shd w:val="clear" w:color="auto" w:fill="auto"/>
          </w:tcPr>
          <w:p w:rsidR="00B90DC0" w:rsidRPr="00995E43" w:rsidRDefault="00B90DC0" w:rsidP="00E87DE7">
            <w:pPr>
              <w:pStyle w:val="list1"/>
              <w:spacing w:after="0"/>
              <w:ind w:left="0" w:firstLine="0"/>
              <w:rPr>
                <w:b/>
                <w:sz w:val="22"/>
                <w:szCs w:val="22"/>
              </w:rPr>
            </w:pPr>
            <w:r w:rsidRPr="00995E43">
              <w:rPr>
                <w:b/>
                <w:sz w:val="22"/>
                <w:szCs w:val="22"/>
              </w:rPr>
              <w:t>Size Category</w:t>
            </w:r>
          </w:p>
        </w:tc>
        <w:tc>
          <w:tcPr>
            <w:tcW w:w="2581" w:type="dxa"/>
            <w:shd w:val="clear" w:color="auto" w:fill="auto"/>
          </w:tcPr>
          <w:p w:rsidR="00B90DC0" w:rsidRPr="00995E43" w:rsidRDefault="00B90DC0" w:rsidP="00E87DE7">
            <w:pPr>
              <w:pStyle w:val="list1"/>
              <w:spacing w:after="0"/>
              <w:ind w:left="0" w:firstLine="0"/>
              <w:rPr>
                <w:b/>
                <w:sz w:val="22"/>
                <w:szCs w:val="22"/>
              </w:rPr>
            </w:pPr>
            <w:r w:rsidRPr="00995E43">
              <w:rPr>
                <w:b/>
                <w:sz w:val="22"/>
                <w:szCs w:val="22"/>
              </w:rPr>
              <w:t>Gross floor area of the development (</w:t>
            </w:r>
            <w:proofErr w:type="spellStart"/>
            <w:r w:rsidRPr="00995E43">
              <w:rPr>
                <w:b/>
                <w:sz w:val="22"/>
                <w:szCs w:val="22"/>
              </w:rPr>
              <w:t>sq.ft</w:t>
            </w:r>
            <w:proofErr w:type="spellEnd"/>
            <w:r w:rsidRPr="00995E43">
              <w:rPr>
                <w:b/>
                <w:sz w:val="22"/>
                <w:szCs w:val="22"/>
              </w:rPr>
              <w:t>.)</w:t>
            </w:r>
          </w:p>
        </w:tc>
        <w:tc>
          <w:tcPr>
            <w:tcW w:w="2909" w:type="dxa"/>
            <w:shd w:val="clear" w:color="auto" w:fill="auto"/>
          </w:tcPr>
          <w:p w:rsidR="00B90DC0" w:rsidRPr="00995E43" w:rsidRDefault="00B90DC0" w:rsidP="00E87DE7">
            <w:pPr>
              <w:pStyle w:val="list1"/>
              <w:spacing w:after="0"/>
              <w:ind w:left="0" w:firstLine="0"/>
              <w:rPr>
                <w:b/>
                <w:sz w:val="22"/>
                <w:szCs w:val="22"/>
              </w:rPr>
            </w:pPr>
            <w:r w:rsidRPr="00995E43">
              <w:rPr>
                <w:b/>
                <w:sz w:val="22"/>
                <w:szCs w:val="22"/>
              </w:rPr>
              <w:t>Sign structure allowance per street frontage (</w:t>
            </w:r>
            <w:proofErr w:type="spellStart"/>
            <w:r w:rsidRPr="00995E43">
              <w:rPr>
                <w:b/>
                <w:sz w:val="22"/>
                <w:szCs w:val="22"/>
              </w:rPr>
              <w:t>sq.ft</w:t>
            </w:r>
            <w:proofErr w:type="spellEnd"/>
            <w:r w:rsidRPr="00995E43">
              <w:rPr>
                <w:b/>
                <w:sz w:val="22"/>
                <w:szCs w:val="22"/>
              </w:rPr>
              <w:t>.)</w:t>
            </w:r>
          </w:p>
        </w:tc>
      </w:tr>
      <w:tr w:rsidR="00B90DC0" w:rsidRPr="00AC1A09" w:rsidTr="00E87DE7">
        <w:trPr>
          <w:jc w:val="center"/>
        </w:trPr>
        <w:tc>
          <w:tcPr>
            <w:tcW w:w="1170" w:type="dxa"/>
            <w:shd w:val="clear" w:color="auto" w:fill="auto"/>
          </w:tcPr>
          <w:p w:rsidR="00B90DC0" w:rsidRPr="00995E43" w:rsidRDefault="00B90DC0" w:rsidP="00E87DE7">
            <w:pPr>
              <w:pStyle w:val="list1"/>
              <w:spacing w:after="0"/>
              <w:ind w:left="0" w:firstLine="0"/>
              <w:rPr>
                <w:b/>
                <w:sz w:val="22"/>
                <w:szCs w:val="22"/>
              </w:rPr>
            </w:pPr>
            <w:r w:rsidRPr="00995E43">
              <w:rPr>
                <w:b/>
                <w:sz w:val="22"/>
                <w:szCs w:val="22"/>
              </w:rPr>
              <w:t>1</w:t>
            </w:r>
          </w:p>
        </w:tc>
        <w:tc>
          <w:tcPr>
            <w:tcW w:w="2581" w:type="dxa"/>
            <w:shd w:val="clear" w:color="auto" w:fill="auto"/>
          </w:tcPr>
          <w:p w:rsidR="00B90DC0" w:rsidRPr="00995E43" w:rsidRDefault="00B90DC0" w:rsidP="00E87DE7">
            <w:pPr>
              <w:pStyle w:val="list1"/>
              <w:spacing w:after="0"/>
              <w:ind w:left="0" w:firstLine="0"/>
              <w:rPr>
                <w:b/>
                <w:sz w:val="22"/>
                <w:szCs w:val="22"/>
              </w:rPr>
            </w:pPr>
            <w:r w:rsidRPr="00995E43">
              <w:rPr>
                <w:b/>
                <w:sz w:val="22"/>
                <w:szCs w:val="22"/>
              </w:rPr>
              <w:t>Less than 10,000</w:t>
            </w:r>
          </w:p>
        </w:tc>
        <w:tc>
          <w:tcPr>
            <w:tcW w:w="2909" w:type="dxa"/>
            <w:shd w:val="clear" w:color="auto" w:fill="auto"/>
          </w:tcPr>
          <w:p w:rsidR="00B90DC0" w:rsidRPr="00995E43" w:rsidRDefault="00B90DC0" w:rsidP="00E87DE7">
            <w:pPr>
              <w:pStyle w:val="list1"/>
              <w:spacing w:after="0"/>
              <w:ind w:left="0" w:firstLine="0"/>
              <w:rPr>
                <w:b/>
                <w:sz w:val="22"/>
                <w:szCs w:val="22"/>
              </w:rPr>
            </w:pPr>
            <w:r w:rsidRPr="00995E43">
              <w:rPr>
                <w:b/>
                <w:sz w:val="22"/>
                <w:szCs w:val="22"/>
              </w:rPr>
              <w:t>50</w:t>
            </w:r>
          </w:p>
        </w:tc>
      </w:tr>
    </w:tbl>
    <w:p w:rsidR="00B90DC0" w:rsidRPr="00A96490" w:rsidRDefault="00B90DC0" w:rsidP="00E44C34">
      <w:pPr>
        <w:pStyle w:val="p0"/>
        <w:numPr>
          <w:ilvl w:val="0"/>
          <w:numId w:val="9"/>
        </w:numPr>
        <w:spacing w:before="0" w:after="0"/>
        <w:jc w:val="both"/>
        <w:rPr>
          <w:sz w:val="22"/>
          <w:szCs w:val="22"/>
        </w:rPr>
      </w:pPr>
      <w:r>
        <w:rPr>
          <w:sz w:val="22"/>
          <w:szCs w:val="22"/>
        </w:rPr>
        <w:t xml:space="preserve">For a </w:t>
      </w:r>
      <w:r w:rsidRPr="00A96490">
        <w:rPr>
          <w:i/>
          <w:sz w:val="22"/>
          <w:szCs w:val="22"/>
          <w:u w:val="single"/>
        </w:rPr>
        <w:t>permitted</w:t>
      </w:r>
      <w:r>
        <w:rPr>
          <w:sz w:val="22"/>
          <w:szCs w:val="22"/>
        </w:rPr>
        <w:t xml:space="preserve"> monument sign (see above) of fifty (50) square feet, the maximum allowable sign face area is 60% or thirty square feet.</w:t>
      </w:r>
      <w:r w:rsidRPr="00A96490">
        <w:rPr>
          <w:sz w:val="22"/>
          <w:szCs w:val="22"/>
        </w:rPr>
        <w:t xml:space="preserve"> Sign face area proposed is over 54 square feet. See below.</w:t>
      </w:r>
    </w:p>
    <w:p w:rsidR="00B90DC0" w:rsidRPr="005B39CF" w:rsidRDefault="00B90DC0" w:rsidP="00B90DC0">
      <w:pPr>
        <w:pStyle w:val="p0"/>
        <w:spacing w:before="0" w:after="0"/>
        <w:ind w:left="360" w:firstLine="0"/>
        <w:jc w:val="both"/>
        <w:rPr>
          <w:sz w:val="22"/>
        </w:rPr>
      </w:pPr>
      <w:r w:rsidRPr="005B39CF">
        <w:rPr>
          <w:sz w:val="22"/>
          <w:szCs w:val="22"/>
        </w:rPr>
        <w:t xml:space="preserve">Sec.13-466.6(a) </w:t>
      </w:r>
      <w:r>
        <w:rPr>
          <w:sz w:val="22"/>
          <w:szCs w:val="22"/>
        </w:rPr>
        <w:t>–</w:t>
      </w:r>
      <w:r w:rsidRPr="005B39CF">
        <w:rPr>
          <w:sz w:val="22"/>
          <w:szCs w:val="22"/>
        </w:rPr>
        <w:t xml:space="preserve"> Ground identification signs.</w:t>
      </w:r>
    </w:p>
    <w:p w:rsidR="00B90DC0" w:rsidRPr="00545C7A" w:rsidRDefault="00B90DC0" w:rsidP="00B90DC0">
      <w:pPr>
        <w:pStyle w:val="list1"/>
        <w:spacing w:after="0"/>
        <w:ind w:left="576" w:hanging="288"/>
        <w:rPr>
          <w:sz w:val="22"/>
          <w:szCs w:val="22"/>
        </w:rPr>
      </w:pPr>
      <w:r w:rsidRPr="00545C7A">
        <w:rPr>
          <w:sz w:val="22"/>
          <w:szCs w:val="22"/>
        </w:rPr>
        <w:t>(2)</w:t>
      </w:r>
      <w:r w:rsidRPr="00545C7A">
        <w:rPr>
          <w:sz w:val="22"/>
          <w:szCs w:val="22"/>
        </w:rPr>
        <w:tab/>
      </w:r>
      <w:r w:rsidRPr="00545C7A">
        <w:rPr>
          <w:i/>
          <w:iCs/>
          <w:sz w:val="22"/>
          <w:szCs w:val="22"/>
        </w:rPr>
        <w:t>Sign face</w:t>
      </w:r>
      <w:r w:rsidRPr="00545C7A">
        <w:rPr>
          <w:sz w:val="22"/>
          <w:szCs w:val="22"/>
        </w:rPr>
        <w:t>.</w:t>
      </w:r>
    </w:p>
    <w:p w:rsidR="00B90DC0" w:rsidRDefault="00B90DC0" w:rsidP="00B90DC0">
      <w:pPr>
        <w:pStyle w:val="list2"/>
        <w:spacing w:after="0"/>
        <w:ind w:left="864" w:hanging="288"/>
        <w:rPr>
          <w:sz w:val="22"/>
          <w:szCs w:val="22"/>
        </w:rPr>
      </w:pPr>
      <w:r w:rsidRPr="00545C7A">
        <w:rPr>
          <w:sz w:val="22"/>
          <w:szCs w:val="22"/>
        </w:rPr>
        <w:t>a.</w:t>
      </w:r>
      <w:r w:rsidRPr="00545C7A">
        <w:rPr>
          <w:sz w:val="22"/>
          <w:szCs w:val="22"/>
        </w:rPr>
        <w:tab/>
      </w:r>
      <w:r>
        <w:rPr>
          <w:sz w:val="22"/>
          <w:szCs w:val="22"/>
        </w:rPr>
        <w:t>S</w:t>
      </w:r>
      <w:r w:rsidRPr="00545C7A">
        <w:rPr>
          <w:sz w:val="22"/>
          <w:szCs w:val="22"/>
        </w:rPr>
        <w:t>ign face area shall not exceed sixty (60) percent of the sign structure area.</w:t>
      </w:r>
    </w:p>
    <w:p w:rsidR="00B90DC0" w:rsidRPr="007A4E41" w:rsidRDefault="00B90DC0" w:rsidP="00B90DC0">
      <w:pPr>
        <w:pStyle w:val="list2"/>
        <w:spacing w:after="0"/>
        <w:ind w:left="864" w:hanging="288"/>
        <w:rPr>
          <w:sz w:val="22"/>
          <w:szCs w:val="22"/>
        </w:rPr>
      </w:pPr>
      <w:r w:rsidRPr="00545C7A">
        <w:rPr>
          <w:sz w:val="22"/>
          <w:szCs w:val="22"/>
        </w:rPr>
        <w:t>c.</w:t>
      </w:r>
      <w:r w:rsidRPr="00545C7A">
        <w:rPr>
          <w:sz w:val="22"/>
          <w:szCs w:val="22"/>
        </w:rPr>
        <w:tab/>
        <w:t xml:space="preserve">A minimum border of six (6) inches of blank space shall surround the sign face of every sign. Border is measured from the edge of sign copy or graphics to the nearest </w:t>
      </w:r>
      <w:r w:rsidRPr="00C966FE">
        <w:rPr>
          <w:sz w:val="22"/>
          <w:szCs w:val="22"/>
        </w:rPr>
        <w:t>architectural o</w:t>
      </w:r>
      <w:r>
        <w:rPr>
          <w:sz w:val="22"/>
          <w:szCs w:val="22"/>
        </w:rPr>
        <w:t>r structural detail or feature.</w:t>
      </w:r>
    </w:p>
    <w:p w:rsidR="00B90DC0" w:rsidRPr="0067182E" w:rsidRDefault="00B90DC0" w:rsidP="00B90DC0">
      <w:pPr>
        <w:autoSpaceDN w:val="0"/>
        <w:ind w:left="1008"/>
        <w:jc w:val="both"/>
        <w:rPr>
          <w:rFonts w:ascii="Arial" w:hAnsi="Arial" w:cs="Arial"/>
          <w:i/>
          <w:szCs w:val="22"/>
        </w:rPr>
      </w:pPr>
    </w:p>
    <w:p w:rsidR="00B90DC0" w:rsidRDefault="00B90DC0" w:rsidP="00E44C34">
      <w:pPr>
        <w:numPr>
          <w:ilvl w:val="0"/>
          <w:numId w:val="9"/>
        </w:numPr>
        <w:autoSpaceDN w:val="0"/>
        <w:ind w:left="432" w:hanging="432"/>
        <w:jc w:val="both"/>
        <w:rPr>
          <w:rFonts w:ascii="Arial" w:hAnsi="Arial" w:cs="Arial"/>
          <w:szCs w:val="22"/>
        </w:rPr>
      </w:pPr>
      <w:r>
        <w:rPr>
          <w:rFonts w:ascii="Arial" w:hAnsi="Arial" w:cs="Arial"/>
          <w:szCs w:val="22"/>
        </w:rPr>
        <w:t>See comments above for overall size of permitted monument sign.</w:t>
      </w:r>
    </w:p>
    <w:p w:rsidR="00B90DC0" w:rsidRPr="0067182E" w:rsidRDefault="00B90DC0" w:rsidP="00B90DC0">
      <w:pPr>
        <w:autoSpaceDN w:val="0"/>
        <w:ind w:left="432"/>
        <w:jc w:val="both"/>
        <w:rPr>
          <w:rFonts w:ascii="Arial" w:hAnsi="Arial" w:cs="Arial"/>
          <w:szCs w:val="22"/>
        </w:rPr>
      </w:pPr>
      <w:r w:rsidRPr="0067182E">
        <w:rPr>
          <w:rFonts w:ascii="Arial" w:hAnsi="Arial" w:cs="Arial"/>
          <w:szCs w:val="22"/>
        </w:rPr>
        <w:t xml:space="preserve">Sec.13-462(c) </w:t>
      </w:r>
      <w:r>
        <w:rPr>
          <w:rFonts w:ascii="Arial" w:hAnsi="Arial" w:cs="Arial"/>
          <w:szCs w:val="22"/>
        </w:rPr>
        <w:t xml:space="preserve">- </w:t>
      </w:r>
      <w:r w:rsidRPr="0067182E">
        <w:rPr>
          <w:rFonts w:ascii="Arial" w:hAnsi="Arial" w:cs="Arial"/>
          <w:szCs w:val="22"/>
        </w:rPr>
        <w:t>Motor fuel pumps.</w:t>
      </w:r>
    </w:p>
    <w:p w:rsidR="00B90DC0" w:rsidRPr="0067182E" w:rsidRDefault="00B90DC0" w:rsidP="00B90DC0">
      <w:pPr>
        <w:pStyle w:val="list2"/>
        <w:spacing w:after="0"/>
        <w:ind w:left="792"/>
        <w:rPr>
          <w:sz w:val="22"/>
          <w:szCs w:val="22"/>
        </w:rPr>
      </w:pPr>
      <w:r w:rsidRPr="0067182E">
        <w:rPr>
          <w:sz w:val="22"/>
          <w:szCs w:val="22"/>
        </w:rPr>
        <w:t>(1)</w:t>
      </w:r>
      <w:r w:rsidRPr="0067182E">
        <w:rPr>
          <w:sz w:val="22"/>
          <w:szCs w:val="22"/>
        </w:rPr>
        <w:tab/>
        <w:t>Fuel price signs.</w:t>
      </w:r>
    </w:p>
    <w:p w:rsidR="00B90DC0" w:rsidRDefault="00B90DC0" w:rsidP="00B90DC0">
      <w:pPr>
        <w:pStyle w:val="list2"/>
        <w:spacing w:after="0"/>
        <w:ind w:left="864" w:hanging="288"/>
        <w:rPr>
          <w:sz w:val="22"/>
          <w:szCs w:val="22"/>
        </w:rPr>
      </w:pPr>
      <w:r w:rsidRPr="0067182E">
        <w:rPr>
          <w:sz w:val="22"/>
          <w:szCs w:val="22"/>
        </w:rPr>
        <w:t>a.</w:t>
      </w:r>
      <w:r w:rsidRPr="0067182E">
        <w:rPr>
          <w:sz w:val="22"/>
          <w:szCs w:val="22"/>
        </w:rPr>
        <w:tab/>
        <w:t>Up to twelve (12) square feet on one (1) monument sign may be allocated to changeable copy for fuel price.</w:t>
      </w:r>
    </w:p>
    <w:p w:rsidR="00B90DC0" w:rsidRPr="0067182E" w:rsidRDefault="00B90DC0" w:rsidP="00B90DC0">
      <w:pPr>
        <w:pStyle w:val="list2"/>
        <w:spacing w:after="0"/>
        <w:ind w:left="864" w:firstLine="0"/>
        <w:rPr>
          <w:i/>
          <w:sz w:val="22"/>
          <w:szCs w:val="22"/>
        </w:rPr>
      </w:pPr>
      <w:r w:rsidRPr="0067182E">
        <w:rPr>
          <w:i/>
          <w:sz w:val="22"/>
          <w:szCs w:val="22"/>
        </w:rPr>
        <w:t>Indicate square footage on graphics and notes as applicable demonstrating compliance.</w:t>
      </w:r>
    </w:p>
    <w:p w:rsidR="00B90DC0" w:rsidRDefault="00B90DC0" w:rsidP="00B90DC0">
      <w:pPr>
        <w:pStyle w:val="list2"/>
        <w:spacing w:after="0"/>
        <w:ind w:left="864" w:hanging="288"/>
        <w:rPr>
          <w:sz w:val="22"/>
          <w:szCs w:val="22"/>
        </w:rPr>
      </w:pPr>
      <w:r w:rsidRPr="0067182E">
        <w:rPr>
          <w:sz w:val="22"/>
          <w:szCs w:val="22"/>
        </w:rPr>
        <w:t>b.</w:t>
      </w:r>
      <w:r w:rsidRPr="0067182E">
        <w:rPr>
          <w:sz w:val="22"/>
          <w:szCs w:val="22"/>
        </w:rPr>
        <w:tab/>
        <w:t>The changeable copy may be digital or changeable copy over a backlit cabinet.</w:t>
      </w:r>
    </w:p>
    <w:p w:rsidR="00B90DC0" w:rsidRPr="0067182E" w:rsidRDefault="00B90DC0" w:rsidP="00B90DC0">
      <w:pPr>
        <w:pStyle w:val="list2"/>
        <w:spacing w:after="0"/>
        <w:ind w:left="864" w:firstLine="0"/>
        <w:rPr>
          <w:i/>
          <w:sz w:val="22"/>
          <w:szCs w:val="22"/>
        </w:rPr>
      </w:pPr>
      <w:r w:rsidRPr="0067182E">
        <w:rPr>
          <w:i/>
          <w:sz w:val="22"/>
          <w:szCs w:val="22"/>
        </w:rPr>
        <w:t>Provide notes as applicable demonstrating compliance.</w:t>
      </w:r>
    </w:p>
    <w:p w:rsidR="00B90DC0" w:rsidRDefault="00B90DC0" w:rsidP="00B90DC0">
      <w:pPr>
        <w:pStyle w:val="list2"/>
        <w:spacing w:after="0"/>
        <w:ind w:left="864" w:hanging="288"/>
        <w:rPr>
          <w:sz w:val="22"/>
          <w:szCs w:val="22"/>
        </w:rPr>
      </w:pPr>
      <w:r w:rsidRPr="00CF21FD">
        <w:rPr>
          <w:sz w:val="22"/>
          <w:szCs w:val="22"/>
        </w:rPr>
        <w:t>c.</w:t>
      </w:r>
      <w:r w:rsidRPr="00CF21FD">
        <w:rPr>
          <w:sz w:val="22"/>
          <w:szCs w:val="22"/>
        </w:rPr>
        <w:tab/>
        <w:t>Fuel price and octane rating signs placed on gasoline pumps shall not exceed three (3) square feet i</w:t>
      </w:r>
      <w:r>
        <w:rPr>
          <w:sz w:val="22"/>
          <w:szCs w:val="22"/>
        </w:rPr>
        <w:t>n area per pump unit dispenser.</w:t>
      </w:r>
    </w:p>
    <w:p w:rsidR="00B90DC0" w:rsidRPr="006C5307" w:rsidRDefault="00B90DC0" w:rsidP="00B90DC0">
      <w:pPr>
        <w:pStyle w:val="list2"/>
        <w:spacing w:after="0"/>
        <w:ind w:left="864" w:firstLine="0"/>
        <w:rPr>
          <w:i/>
          <w:sz w:val="22"/>
          <w:szCs w:val="22"/>
        </w:rPr>
      </w:pPr>
      <w:r>
        <w:rPr>
          <w:i/>
          <w:sz w:val="22"/>
          <w:szCs w:val="22"/>
        </w:rPr>
        <w:t>Provide details i</w:t>
      </w:r>
      <w:r w:rsidRPr="003A68A3">
        <w:rPr>
          <w:i/>
          <w:sz w:val="22"/>
          <w:szCs w:val="22"/>
        </w:rPr>
        <w:t>ndicat</w:t>
      </w:r>
      <w:r>
        <w:rPr>
          <w:i/>
          <w:sz w:val="22"/>
          <w:szCs w:val="22"/>
        </w:rPr>
        <w:t>ing</w:t>
      </w:r>
      <w:r w:rsidRPr="003A68A3">
        <w:rPr>
          <w:i/>
          <w:sz w:val="22"/>
          <w:szCs w:val="22"/>
        </w:rPr>
        <w:t xml:space="preserve"> square footage and notes as appl</w:t>
      </w:r>
      <w:r>
        <w:rPr>
          <w:i/>
          <w:sz w:val="22"/>
          <w:szCs w:val="22"/>
        </w:rPr>
        <w:t>icable demonstrating compliance.</w:t>
      </w:r>
    </w:p>
    <w:p w:rsidR="00B90DC0" w:rsidRPr="00F4451E" w:rsidRDefault="00B90DC0" w:rsidP="00B90DC0">
      <w:pPr>
        <w:ind w:left="-450"/>
        <w:jc w:val="both"/>
        <w:rPr>
          <w:rFonts w:ascii="Arial" w:hAnsi="Arial" w:cs="Arial"/>
          <w:color w:val="000000"/>
          <w:sz w:val="22"/>
          <w:szCs w:val="20"/>
        </w:rPr>
      </w:pPr>
    </w:p>
    <w:sectPr w:rsidR="00B90DC0" w:rsidRPr="00F4451E" w:rsidSect="00355F05">
      <w:headerReference w:type="default" r:id="rId14"/>
      <w:footerReference w:type="default" r:id="rId15"/>
      <w:pgSz w:w="12240" w:h="15840" w:code="1"/>
      <w:pgMar w:top="1008" w:right="1584" w:bottom="1008" w:left="158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6A" w:rsidRPr="00B14550" w:rsidRDefault="0084546A" w:rsidP="0084546A">
    <w:pPr>
      <w:pStyle w:val="Footer"/>
      <w:ind w:left="-907" w:right="-418"/>
      <w:jc w:val="both"/>
      <w:rPr>
        <w:rFonts w:ascii="Arial" w:hAnsi="Arial" w:cs="Arial"/>
        <w:sz w:val="16"/>
        <w:szCs w:val="16"/>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Pr>
        <w:rFonts w:ascii="Arial" w:hAnsi="Arial" w:cs="Arial"/>
        <w:i/>
        <w:sz w:val="16"/>
      </w:rPr>
      <w:t>acknowledgements</w:t>
    </w:r>
    <w:r w:rsidRPr="00C51C94">
      <w:rPr>
        <w:rFonts w:ascii="Arial" w:hAnsi="Arial" w:cs="Arial"/>
        <w:i/>
        <w:sz w:val="16"/>
      </w:rPr>
      <w:t xml:space="preserve"> are not corrections</w:t>
    </w:r>
    <w:r w:rsidRPr="00C51C94">
      <w:rPr>
        <w:rFonts w:ascii="Arial" w:hAnsi="Arial" w:cs="Arial"/>
        <w:sz w:val="16"/>
      </w:rPr>
      <w:t xml:space="preserve">).  </w:t>
    </w:r>
    <w:r w:rsidRPr="00C51C94">
      <w:rPr>
        <w:rFonts w:ascii="Arial" w:hAnsi="Arial" w:cs="Arial"/>
        <w:b/>
        <w:sz w:val="16"/>
      </w:rPr>
      <w:t xml:space="preserve">ONLY COMPLETE </w:t>
    </w:r>
    <w:r>
      <w:rPr>
        <w:rFonts w:ascii="Arial" w:hAnsi="Arial" w:cs="Arial"/>
        <w:b/>
        <w:sz w:val="16"/>
      </w:rPr>
      <w:t xml:space="preserve">SIGNED AND SEALED DIGITAL </w:t>
    </w:r>
    <w:r w:rsidRPr="00C51C94">
      <w:rPr>
        <w:rFonts w:ascii="Arial" w:hAnsi="Arial" w:cs="Arial"/>
        <w:b/>
        <w:sz w:val="16"/>
      </w:rPr>
      <w:t>PACKAGES</w:t>
    </w:r>
    <w:r w:rsidRPr="00C51C94">
      <w:rPr>
        <w:rFonts w:ascii="Arial" w:hAnsi="Arial" w:cs="Arial"/>
        <w:sz w:val="16"/>
      </w:rPr>
      <w:t xml:space="preserve"> </w:t>
    </w:r>
    <w:r w:rsidRPr="00C51C94">
      <w:rPr>
        <w:rFonts w:ascii="Arial" w:hAnsi="Arial" w:cs="Arial"/>
        <w:b/>
        <w:sz w:val="16"/>
      </w:rPr>
      <w:t>WILL BE ACCEPTED</w:t>
    </w:r>
    <w:r>
      <w:rPr>
        <w:rFonts w:ascii="Arial" w:hAnsi="Arial" w:cs="Arial"/>
        <w:b/>
        <w:sz w:val="16"/>
      </w:rPr>
      <w:t>.</w:t>
    </w:r>
    <w:r w:rsidRPr="00C51C94">
      <w:rPr>
        <w:rFonts w:ascii="Arial" w:hAnsi="Arial" w:cs="Arial"/>
        <w:sz w:val="16"/>
      </w:rPr>
      <w:t xml:space="preserve"> </w:t>
    </w:r>
    <w:r w:rsidRPr="00B14550">
      <w:rPr>
        <w:rFonts w:ascii="Arial" w:hAnsi="Arial" w:cs="Arial"/>
        <w:sz w:val="16"/>
        <w:szCs w:val="16"/>
      </w:rPr>
      <w:t xml:space="preserve"> Applicant does not need to resubmit application or previously submitted documents.  Additional comments may be provided at DRC meeting and/or required upon review of any revised plans.</w:t>
    </w:r>
    <w:r>
      <w:rPr>
        <w:rFonts w:ascii="Arial" w:hAnsi="Arial" w:cs="Arial"/>
        <w:sz w:val="16"/>
        <w:szCs w:val="16"/>
      </w:rPr>
      <w:t xml:space="preserve">  Refer to </w:t>
    </w:r>
    <w:r w:rsidRPr="00AC53D4">
      <w:rPr>
        <w:rFonts w:ascii="Arial" w:hAnsi="Arial" w:cs="Arial"/>
        <w:b/>
        <w:sz w:val="16"/>
        <w:szCs w:val="16"/>
      </w:rPr>
      <w:t>e-Plan User Guide</w:t>
    </w:r>
    <w:r>
      <w:rPr>
        <w:rFonts w:ascii="Arial" w:hAnsi="Arial" w:cs="Arial"/>
        <w:sz w:val="16"/>
        <w:szCs w:val="16"/>
      </w:rPr>
      <w:t xml:space="preserve"> for instructions, found under resources on the Development Review web page.</w:t>
    </w:r>
  </w:p>
  <w:p w:rsidR="004C2C39" w:rsidRPr="0084546A" w:rsidRDefault="004C2C39" w:rsidP="00845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013C20E5" wp14:editId="7AC6A916">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4" name="Picture 4"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32519E2A" wp14:editId="002D8927">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519E2A"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300"/>
    <w:multiLevelType w:val="multilevel"/>
    <w:tmpl w:val="7518868A"/>
    <w:lvl w:ilvl="0">
      <w:start w:val="1"/>
      <w:numFmt w:val="lowerLetter"/>
      <w:lvlText w:val="(%1)"/>
      <w:lvlJc w:val="left"/>
      <w:pPr>
        <w:tabs>
          <w:tab w:val="num" w:pos="504"/>
        </w:tabs>
        <w:ind w:left="504" w:hanging="504"/>
      </w:pPr>
      <w:rPr>
        <w:rFonts w:ascii="Calibri" w:eastAsia="Times New Roman" w:hAnsi="Calibri" w:cs="Times New Roman" w:hint="default"/>
        <w:sz w:val="24"/>
      </w:rPr>
    </w:lvl>
    <w:lvl w:ilvl="1">
      <w:start w:val="1"/>
      <w:numFmt w:val="decimal"/>
      <w:lvlText w:val="(%2)"/>
      <w:lvlJc w:val="left"/>
      <w:pPr>
        <w:tabs>
          <w:tab w:val="num" w:pos="1008"/>
        </w:tabs>
        <w:ind w:left="1008" w:hanging="504"/>
      </w:pPr>
      <w:rPr>
        <w:rFonts w:cs="Times New Roman"/>
        <w:i w:val="0"/>
      </w:rPr>
    </w:lvl>
    <w:lvl w:ilvl="2">
      <w:start w:val="1"/>
      <w:numFmt w:val="lowerLetter"/>
      <w:lvlText w:val="%3."/>
      <w:lvlJc w:val="left"/>
      <w:pPr>
        <w:tabs>
          <w:tab w:val="num" w:pos="1512"/>
        </w:tabs>
        <w:ind w:left="1512" w:hanging="504"/>
      </w:pPr>
      <w:rPr>
        <w:rFonts w:cs="Times New Roman"/>
      </w:rPr>
    </w:lvl>
    <w:lvl w:ilvl="3">
      <w:start w:val="1"/>
      <w:numFmt w:val="lowerRoman"/>
      <w:lvlText w:val="(%4)"/>
      <w:lvlJc w:val="left"/>
      <w:pPr>
        <w:tabs>
          <w:tab w:val="num" w:pos="2016"/>
        </w:tabs>
        <w:ind w:left="2016" w:hanging="504"/>
      </w:pPr>
      <w:rPr>
        <w:rFonts w:cs="Times New Roman"/>
      </w:rPr>
    </w:lvl>
    <w:lvl w:ilvl="4">
      <w:start w:val="1"/>
      <w:numFmt w:val="none"/>
      <w:lvlText w:val="(%5)"/>
      <w:lvlJc w:val="left"/>
      <w:pPr>
        <w:tabs>
          <w:tab w:val="num" w:pos="1224"/>
        </w:tabs>
        <w:ind w:left="3024" w:hanging="360"/>
      </w:pPr>
      <w:rPr>
        <w:rFonts w:cs="Times New Roman"/>
      </w:rPr>
    </w:lvl>
    <w:lvl w:ilvl="5">
      <w:start w:val="1"/>
      <w:numFmt w:val="none"/>
      <w:lvlText w:val="(%6)"/>
      <w:lvlJc w:val="left"/>
      <w:pPr>
        <w:tabs>
          <w:tab w:val="num" w:pos="1224"/>
        </w:tabs>
        <w:ind w:left="3384" w:hanging="360"/>
      </w:pPr>
      <w:rPr>
        <w:rFonts w:cs="Times New Roman"/>
      </w:rPr>
    </w:lvl>
    <w:lvl w:ilvl="6">
      <w:start w:val="1"/>
      <w:numFmt w:val="none"/>
      <w:lvlText w:val="%7."/>
      <w:lvlJc w:val="left"/>
      <w:pPr>
        <w:tabs>
          <w:tab w:val="num" w:pos="1224"/>
        </w:tabs>
        <w:ind w:left="3744" w:hanging="360"/>
      </w:pPr>
      <w:rPr>
        <w:rFonts w:cs="Times New Roman"/>
      </w:rPr>
    </w:lvl>
    <w:lvl w:ilvl="7">
      <w:start w:val="1"/>
      <w:numFmt w:val="none"/>
      <w:lvlText w:val="%8."/>
      <w:lvlJc w:val="left"/>
      <w:pPr>
        <w:tabs>
          <w:tab w:val="num" w:pos="1224"/>
        </w:tabs>
        <w:ind w:left="4104" w:hanging="360"/>
      </w:pPr>
      <w:rPr>
        <w:rFonts w:cs="Times New Roman"/>
      </w:rPr>
    </w:lvl>
    <w:lvl w:ilvl="8">
      <w:start w:val="1"/>
      <w:numFmt w:val="none"/>
      <w:lvlText w:val="%9."/>
      <w:lvlJc w:val="left"/>
      <w:pPr>
        <w:tabs>
          <w:tab w:val="num" w:pos="1224"/>
        </w:tabs>
        <w:ind w:left="4464" w:hanging="360"/>
      </w:pPr>
      <w:rPr>
        <w:rFonts w:cs="Times New Roman"/>
      </w:rPr>
    </w:lvl>
  </w:abstractNum>
  <w:abstractNum w:abstractNumId="1" w15:restartNumberingAfterBreak="0">
    <w:nsid w:val="0CC76F09"/>
    <w:multiLevelType w:val="hybridMultilevel"/>
    <w:tmpl w:val="B630D5DC"/>
    <w:lvl w:ilvl="0" w:tplc="C32AB404">
      <w:start w:val="1"/>
      <w:numFmt w:val="decimal"/>
      <w:lvlText w:val="%1."/>
      <w:lvlJc w:val="left"/>
      <w:pPr>
        <w:ind w:left="0" w:hanging="45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15:restartNumberingAfterBreak="0">
    <w:nsid w:val="11FE7E26"/>
    <w:multiLevelType w:val="hybridMultilevel"/>
    <w:tmpl w:val="3D4050B4"/>
    <w:lvl w:ilvl="0" w:tplc="7C289C0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D67FFB"/>
    <w:multiLevelType w:val="hybridMultilevel"/>
    <w:tmpl w:val="45CC2680"/>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61605"/>
    <w:multiLevelType w:val="hybridMultilevel"/>
    <w:tmpl w:val="D34C819C"/>
    <w:lvl w:ilvl="0" w:tplc="44840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EE5B93"/>
    <w:multiLevelType w:val="hybridMultilevel"/>
    <w:tmpl w:val="8370E258"/>
    <w:lvl w:ilvl="0" w:tplc="2BE2C23E">
      <w:start w:val="1"/>
      <w:numFmt w:val="decimal"/>
      <w:lvlText w:val="%1."/>
      <w:lvlJc w:val="left"/>
      <w:pPr>
        <w:tabs>
          <w:tab w:val="num" w:pos="360"/>
        </w:tabs>
        <w:ind w:left="360" w:hanging="360"/>
      </w:pPr>
      <w:rPr>
        <w:rFonts w:hint="default"/>
      </w:rPr>
    </w:lvl>
    <w:lvl w:ilvl="1" w:tplc="F72ACE8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26C618C"/>
    <w:multiLevelType w:val="hybridMultilevel"/>
    <w:tmpl w:val="8370E258"/>
    <w:lvl w:ilvl="0" w:tplc="2BE2C23E">
      <w:start w:val="1"/>
      <w:numFmt w:val="decimal"/>
      <w:lvlText w:val="%1."/>
      <w:lvlJc w:val="left"/>
      <w:pPr>
        <w:tabs>
          <w:tab w:val="num" w:pos="360"/>
        </w:tabs>
        <w:ind w:left="360" w:hanging="360"/>
      </w:pPr>
      <w:rPr>
        <w:rFonts w:hint="default"/>
      </w:rPr>
    </w:lvl>
    <w:lvl w:ilvl="1" w:tplc="F72ACE8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3A139D2"/>
    <w:multiLevelType w:val="multilevel"/>
    <w:tmpl w:val="A24830E0"/>
    <w:numStyleLink w:val="CurrentList1"/>
  </w:abstractNum>
  <w:abstractNum w:abstractNumId="8" w15:restartNumberingAfterBreak="0">
    <w:nsid w:val="78511C79"/>
    <w:multiLevelType w:val="multilevel"/>
    <w:tmpl w:val="A24830E0"/>
    <w:styleLink w:val="CurrentList1"/>
    <w:lvl w:ilvl="0">
      <w:start w:val="1"/>
      <w:numFmt w:val="lowerLetter"/>
      <w:suff w:val="nothing"/>
      <w:lvlText w:val="(%1)"/>
      <w:lvlJc w:val="left"/>
      <w:pPr>
        <w:ind w:left="504" w:hanging="504"/>
      </w:pPr>
      <w:rPr>
        <w:rFonts w:ascii="Calibri" w:eastAsia="Times New Roman" w:hAnsi="Calibri" w:cs="Times New Roman" w:hint="default"/>
        <w:sz w:val="24"/>
      </w:rPr>
    </w:lvl>
    <w:lvl w:ilvl="1">
      <w:start w:val="1"/>
      <w:numFmt w:val="decimal"/>
      <w:lvlText w:val="(%2)"/>
      <w:lvlJc w:val="left"/>
      <w:pPr>
        <w:tabs>
          <w:tab w:val="num" w:pos="1008"/>
        </w:tabs>
        <w:ind w:left="1008" w:hanging="504"/>
      </w:pPr>
      <w:rPr>
        <w:rFonts w:cs="Times New Roman"/>
        <w:i w:val="0"/>
      </w:rPr>
    </w:lvl>
    <w:lvl w:ilvl="2">
      <w:start w:val="1"/>
      <w:numFmt w:val="lowerLetter"/>
      <w:lvlText w:val="%3."/>
      <w:lvlJc w:val="left"/>
      <w:pPr>
        <w:tabs>
          <w:tab w:val="num" w:pos="1512"/>
        </w:tabs>
        <w:ind w:left="1512" w:hanging="504"/>
      </w:pPr>
      <w:rPr>
        <w:rFonts w:cs="Times New Roman"/>
      </w:rPr>
    </w:lvl>
    <w:lvl w:ilvl="3">
      <w:start w:val="1"/>
      <w:numFmt w:val="lowerRoman"/>
      <w:lvlText w:val="(%4)"/>
      <w:lvlJc w:val="left"/>
      <w:pPr>
        <w:tabs>
          <w:tab w:val="num" w:pos="2016"/>
        </w:tabs>
        <w:ind w:left="2016" w:hanging="504"/>
      </w:pPr>
      <w:rPr>
        <w:rFonts w:cs="Times New Roman"/>
      </w:rPr>
    </w:lvl>
    <w:lvl w:ilvl="4">
      <w:start w:val="1"/>
      <w:numFmt w:val="none"/>
      <w:lvlText w:val="(%5)"/>
      <w:lvlJc w:val="left"/>
      <w:pPr>
        <w:tabs>
          <w:tab w:val="num" w:pos="1224"/>
        </w:tabs>
        <w:ind w:left="3024" w:hanging="360"/>
      </w:pPr>
      <w:rPr>
        <w:rFonts w:cs="Times New Roman"/>
      </w:rPr>
    </w:lvl>
    <w:lvl w:ilvl="5">
      <w:start w:val="1"/>
      <w:numFmt w:val="none"/>
      <w:lvlText w:val="(%6)"/>
      <w:lvlJc w:val="left"/>
      <w:pPr>
        <w:tabs>
          <w:tab w:val="num" w:pos="1224"/>
        </w:tabs>
        <w:ind w:left="3384" w:hanging="360"/>
      </w:pPr>
      <w:rPr>
        <w:rFonts w:cs="Times New Roman"/>
      </w:rPr>
    </w:lvl>
    <w:lvl w:ilvl="6">
      <w:start w:val="1"/>
      <w:numFmt w:val="none"/>
      <w:lvlText w:val="%7."/>
      <w:lvlJc w:val="left"/>
      <w:pPr>
        <w:tabs>
          <w:tab w:val="num" w:pos="1224"/>
        </w:tabs>
        <w:ind w:left="3744" w:hanging="360"/>
      </w:pPr>
      <w:rPr>
        <w:rFonts w:cs="Times New Roman"/>
      </w:rPr>
    </w:lvl>
    <w:lvl w:ilvl="7">
      <w:start w:val="1"/>
      <w:numFmt w:val="none"/>
      <w:lvlText w:val="%8."/>
      <w:lvlJc w:val="left"/>
      <w:pPr>
        <w:tabs>
          <w:tab w:val="num" w:pos="1224"/>
        </w:tabs>
        <w:ind w:left="4104" w:hanging="360"/>
      </w:pPr>
      <w:rPr>
        <w:rFonts w:cs="Times New Roman"/>
      </w:rPr>
    </w:lvl>
    <w:lvl w:ilvl="8">
      <w:start w:val="1"/>
      <w:numFmt w:val="none"/>
      <w:lvlText w:val="%9."/>
      <w:lvlJc w:val="left"/>
      <w:pPr>
        <w:tabs>
          <w:tab w:val="num" w:pos="1224"/>
        </w:tabs>
        <w:ind w:left="4464" w:hanging="360"/>
      </w:pPr>
      <w:rPr>
        <w:rFonts w:cs="Times New Roman"/>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8"/>
  </w:num>
  <w:num w:numId="6">
    <w:abstractNumId w:val="7"/>
    <w:lvlOverride w:ilvl="0">
      <w:startOverride w:val="1"/>
      <w:lvl w:ilvl="0">
        <w:start w:val="1"/>
        <w:numFmt w:val="lowerLetter"/>
        <w:suff w:val="nothing"/>
        <w:lvlText w:val="(%1)"/>
        <w:lvlJc w:val="left"/>
        <w:pPr>
          <w:ind w:left="774" w:hanging="504"/>
        </w:pPr>
        <w:rPr>
          <w:rFonts w:ascii="Arial" w:eastAsia="Times New Roman" w:hAnsi="Arial" w:cs="Arial" w:hint="default"/>
          <w:sz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47C86"/>
    <w:rsid w:val="00066EA9"/>
    <w:rsid w:val="00073224"/>
    <w:rsid w:val="00074293"/>
    <w:rsid w:val="00081BC4"/>
    <w:rsid w:val="000E1AFE"/>
    <w:rsid w:val="00100F19"/>
    <w:rsid w:val="00104376"/>
    <w:rsid w:val="0018208B"/>
    <w:rsid w:val="00194D26"/>
    <w:rsid w:val="001A79BF"/>
    <w:rsid w:val="001B3878"/>
    <w:rsid w:val="001C343C"/>
    <w:rsid w:val="001D1F08"/>
    <w:rsid w:val="00203DCC"/>
    <w:rsid w:val="0021746C"/>
    <w:rsid w:val="00261586"/>
    <w:rsid w:val="002641A4"/>
    <w:rsid w:val="00355F05"/>
    <w:rsid w:val="00364D08"/>
    <w:rsid w:val="003724A8"/>
    <w:rsid w:val="00387DC4"/>
    <w:rsid w:val="003B2E92"/>
    <w:rsid w:val="004C2C39"/>
    <w:rsid w:val="004D02D5"/>
    <w:rsid w:val="005222C8"/>
    <w:rsid w:val="00525DFD"/>
    <w:rsid w:val="005565E6"/>
    <w:rsid w:val="005C0BE9"/>
    <w:rsid w:val="005C489B"/>
    <w:rsid w:val="005F62F8"/>
    <w:rsid w:val="00603304"/>
    <w:rsid w:val="00605D8F"/>
    <w:rsid w:val="00620AB4"/>
    <w:rsid w:val="0063361A"/>
    <w:rsid w:val="006630A8"/>
    <w:rsid w:val="0066442A"/>
    <w:rsid w:val="006F1FA0"/>
    <w:rsid w:val="00730051"/>
    <w:rsid w:val="0076780D"/>
    <w:rsid w:val="007751BC"/>
    <w:rsid w:val="007A4656"/>
    <w:rsid w:val="0084546A"/>
    <w:rsid w:val="00855F85"/>
    <w:rsid w:val="00866619"/>
    <w:rsid w:val="008816EB"/>
    <w:rsid w:val="008857C3"/>
    <w:rsid w:val="008A4F63"/>
    <w:rsid w:val="008A5007"/>
    <w:rsid w:val="008A7C76"/>
    <w:rsid w:val="008D0040"/>
    <w:rsid w:val="0096038F"/>
    <w:rsid w:val="009B5715"/>
    <w:rsid w:val="009C61CF"/>
    <w:rsid w:val="009F5EA6"/>
    <w:rsid w:val="00A06202"/>
    <w:rsid w:val="00A83755"/>
    <w:rsid w:val="00AA2BD5"/>
    <w:rsid w:val="00AB1F22"/>
    <w:rsid w:val="00AD357A"/>
    <w:rsid w:val="00AE124B"/>
    <w:rsid w:val="00B14550"/>
    <w:rsid w:val="00B90DC0"/>
    <w:rsid w:val="00BE214F"/>
    <w:rsid w:val="00C0662F"/>
    <w:rsid w:val="00C41860"/>
    <w:rsid w:val="00C84133"/>
    <w:rsid w:val="00D0298B"/>
    <w:rsid w:val="00D143E5"/>
    <w:rsid w:val="00D319BB"/>
    <w:rsid w:val="00D35925"/>
    <w:rsid w:val="00D435D5"/>
    <w:rsid w:val="00D55B39"/>
    <w:rsid w:val="00D661BD"/>
    <w:rsid w:val="00D80FE9"/>
    <w:rsid w:val="00DA0092"/>
    <w:rsid w:val="00DA0488"/>
    <w:rsid w:val="00DA10FE"/>
    <w:rsid w:val="00E25C8F"/>
    <w:rsid w:val="00E3016A"/>
    <w:rsid w:val="00E44C34"/>
    <w:rsid w:val="00E54088"/>
    <w:rsid w:val="00E87DE7"/>
    <w:rsid w:val="00EC3E7F"/>
    <w:rsid w:val="00ED5DB2"/>
    <w:rsid w:val="00F14E82"/>
    <w:rsid w:val="00F23440"/>
    <w:rsid w:val="00F4451E"/>
    <w:rsid w:val="00FA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2DFBDDB7-39FF-465E-AC55-0579D49D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25DFD"/>
    <w:pPr>
      <w:ind w:left="720"/>
      <w:contextualSpacing/>
    </w:pPr>
  </w:style>
  <w:style w:type="paragraph" w:customStyle="1" w:styleId="l1">
    <w:name w:val="l1"/>
    <w:rsid w:val="00F23440"/>
    <w:pPr>
      <w:widowControl w:val="0"/>
      <w:tabs>
        <w:tab w:val="left" w:pos="1440"/>
      </w:tabs>
      <w:autoSpaceDE w:val="0"/>
      <w:autoSpaceDN w:val="0"/>
      <w:adjustRightInd w:val="0"/>
      <w:spacing w:before="144"/>
      <w:ind w:left="1440" w:hanging="720"/>
      <w:jc w:val="both"/>
    </w:pPr>
    <w:rPr>
      <w:rFonts w:ascii="Arial" w:hAnsi="Arial"/>
      <w:sz w:val="24"/>
    </w:rPr>
  </w:style>
  <w:style w:type="numbering" w:customStyle="1" w:styleId="CurrentList1">
    <w:name w:val="Current List1"/>
    <w:rsid w:val="00F23440"/>
    <w:pPr>
      <w:numPr>
        <w:numId w:val="5"/>
      </w:numPr>
    </w:pPr>
  </w:style>
  <w:style w:type="paragraph" w:customStyle="1" w:styleId="list0">
    <w:name w:val="list0"/>
    <w:basedOn w:val="Normal"/>
    <w:qFormat/>
    <w:rsid w:val="00F23440"/>
    <w:pPr>
      <w:spacing w:after="120"/>
      <w:ind w:left="432" w:hanging="432"/>
      <w:jc w:val="both"/>
    </w:pPr>
    <w:rPr>
      <w:rFonts w:ascii="Arial" w:eastAsia="Calibri" w:hAnsi="Arial" w:cs="Arial"/>
      <w:sz w:val="20"/>
      <w:szCs w:val="20"/>
    </w:rPr>
  </w:style>
  <w:style w:type="paragraph" w:customStyle="1" w:styleId="list1">
    <w:name w:val="list1"/>
    <w:basedOn w:val="list0"/>
    <w:qFormat/>
    <w:rsid w:val="00F23440"/>
    <w:pPr>
      <w:ind w:left="864"/>
    </w:pPr>
  </w:style>
  <w:style w:type="paragraph" w:customStyle="1" w:styleId="list2">
    <w:name w:val="list2"/>
    <w:basedOn w:val="list1"/>
    <w:qFormat/>
    <w:rsid w:val="00F23440"/>
    <w:pPr>
      <w:ind w:left="1296"/>
    </w:pPr>
  </w:style>
  <w:style w:type="paragraph" w:customStyle="1" w:styleId="p0">
    <w:name w:val="p0"/>
    <w:basedOn w:val="Normal"/>
    <w:qFormat/>
    <w:rsid w:val="00D319BB"/>
    <w:pPr>
      <w:spacing w:before="48" w:after="240"/>
      <w:ind w:left="720" w:firstLine="720"/>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32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hitman@coconutcreek.net" TargetMode="External"/><Relationship Id="rId13" Type="http://schemas.openxmlformats.org/officeDocument/2006/relationships/hyperlink" Target="mailto:speavler@coconutcreek.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guiar@coconutcreek.net" TargetMode="External"/><Relationship Id="rId12" Type="http://schemas.openxmlformats.org/officeDocument/2006/relationships/hyperlink" Target="mailto:KKandial@coconutcreek.net"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cabrera@coconutcreek.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flanagan@coconutcreek.net" TargetMode="External"/><Relationship Id="rId4" Type="http://schemas.openxmlformats.org/officeDocument/2006/relationships/webSettings" Target="webSettings.xml"/><Relationship Id="rId9" Type="http://schemas.openxmlformats.org/officeDocument/2006/relationships/hyperlink" Target="mailto:SMeshram@coconutcreek.ne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54</cp:revision>
  <dcterms:created xsi:type="dcterms:W3CDTF">2013-09-30T12:29:00Z</dcterms:created>
  <dcterms:modified xsi:type="dcterms:W3CDTF">2017-09-12T16:04:00Z</dcterms:modified>
</cp:coreProperties>
</file>